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right="3179"/>
        <w:rPr>
          <w:b/>
          <w:color w:val="auto"/>
          <w:kern w:val="0"/>
          <w:sz w:val="32"/>
        </w:rPr>
        <w:sectPr>
          <w:headerReference r:id="rId3" w:type="default"/>
          <w:footerReference r:id="rId4" w:type="default"/>
          <w:footerReference r:id="rId5" w:type="even"/>
          <w:pgSz w:w="23814" w:h="16840" w:orient="landscape"/>
          <w:pgMar w:top="1134" w:right="1440" w:bottom="2268" w:left="2552" w:header="851" w:footer="992" w:gutter="0"/>
          <w:cols w:space="942" w:num="2"/>
          <w:docGrid w:type="linesAndChars" w:linePitch="447" w:charSpace="1355"/>
        </w:sectPr>
      </w:pPr>
      <w:r>
        <w:rPr>
          <w:b/>
          <w:color w:val="auto"/>
          <w:kern w:val="0"/>
          <w:sz w:val="32"/>
        </w:rPr>
        <w:t xml:space="preserve">                                           </w:t>
      </w:r>
    </w:p>
    <w:p>
      <w:pPr>
        <w:spacing w:line="540" w:lineRule="exact"/>
        <w:ind w:right="3179" w:firstLine="1690" w:firstLineChars="462"/>
        <w:jc w:val="center"/>
        <w:rPr>
          <w:b/>
          <w:color w:val="auto"/>
          <w:kern w:val="0"/>
          <w:sz w:val="36"/>
          <w:szCs w:val="36"/>
        </w:rPr>
      </w:pPr>
      <w:r>
        <w:rPr>
          <w:b/>
          <w:color w:val="auto"/>
          <w:kern w:val="0"/>
          <w:sz w:val="36"/>
          <w:szCs w:val="36"/>
        </w:rPr>
        <w:t>排水</w:t>
      </w:r>
      <w:r>
        <w:rPr>
          <w:rFonts w:hint="eastAsia"/>
          <w:b/>
          <w:color w:val="auto"/>
          <w:kern w:val="0"/>
          <w:sz w:val="36"/>
          <w:szCs w:val="36"/>
          <w:lang w:eastAsia="zh-CN"/>
        </w:rPr>
        <w:t>工程</w:t>
      </w:r>
      <w:r>
        <w:rPr>
          <w:b/>
          <w:color w:val="auto"/>
          <w:kern w:val="0"/>
          <w:sz w:val="36"/>
          <w:szCs w:val="36"/>
        </w:rPr>
        <w:t>施工图设计说明</w:t>
      </w:r>
    </w:p>
    <w:p>
      <w:pPr>
        <w:spacing w:line="540" w:lineRule="exact"/>
        <w:ind w:right="3179"/>
        <w:jc w:val="center"/>
        <w:rPr>
          <w:b/>
          <w:color w:val="auto"/>
          <w:kern w:val="0"/>
          <w:sz w:val="36"/>
          <w:szCs w:val="36"/>
        </w:rPr>
      </w:pPr>
      <w:r>
        <w:rPr>
          <w:rFonts w:hint="eastAsia"/>
          <w:b/>
          <w:color w:val="auto"/>
          <w:kern w:val="0"/>
          <w:sz w:val="36"/>
          <w:szCs w:val="36"/>
        </w:rPr>
        <w:t xml:space="preserve">     </w:t>
      </w:r>
    </w:p>
    <w:p>
      <w:pPr>
        <w:spacing w:line="540" w:lineRule="exact"/>
        <w:ind w:right="3179"/>
        <w:jc w:val="center"/>
        <w:rPr>
          <w:b/>
          <w:color w:val="auto"/>
          <w:kern w:val="0"/>
          <w:sz w:val="36"/>
          <w:szCs w:val="36"/>
        </w:rPr>
        <w:sectPr>
          <w:type w:val="continuous"/>
          <w:pgSz w:w="23814" w:h="16840" w:orient="landscape"/>
          <w:pgMar w:top="1134" w:right="1440" w:bottom="2268" w:left="2268" w:header="851" w:footer="992" w:gutter="0"/>
          <w:cols w:space="720" w:num="1"/>
          <w:docGrid w:type="linesAndChars" w:linePitch="447" w:charSpace="1355"/>
        </w:sectPr>
      </w:pPr>
      <w:r>
        <w:rPr>
          <w:rFonts w:hint="eastAsia"/>
          <w:b/>
          <w:color w:val="auto"/>
          <w:kern w:val="0"/>
          <w:sz w:val="36"/>
          <w:szCs w:val="36"/>
        </w:rPr>
        <w:t xml:space="preserve"> </w:t>
      </w:r>
      <w:r>
        <w:rPr>
          <w:rFonts w:hint="eastAsia"/>
          <w:b/>
          <w:color w:val="auto"/>
          <w:kern w:val="0"/>
          <w:sz w:val="32"/>
        </w:rPr>
        <w:t xml:space="preserve">     </w:t>
      </w:r>
    </w:p>
    <w:p>
      <w:pPr>
        <w:pStyle w:val="4"/>
        <w:spacing w:before="176"/>
        <w:rPr>
          <w:color w:val="auto"/>
        </w:rPr>
      </w:pPr>
      <w:r>
        <w:rPr>
          <w:color w:val="auto"/>
        </w:rPr>
        <w:t>设计依据及规范</w:t>
      </w:r>
    </w:p>
    <w:p>
      <w:pPr>
        <w:pStyle w:val="5"/>
        <w:rPr>
          <w:color w:val="auto"/>
        </w:rPr>
      </w:pPr>
      <w:r>
        <w:rPr>
          <w:color w:val="auto"/>
        </w:rPr>
        <w:t>设计依据</w:t>
      </w:r>
    </w:p>
    <w:p>
      <w:pPr>
        <w:pStyle w:val="86"/>
        <w:numPr>
          <w:ilvl w:val="0"/>
          <w:numId w:val="2"/>
        </w:numPr>
        <w:ind w:firstLineChars="0"/>
        <w:rPr>
          <w:color w:val="auto"/>
        </w:rPr>
      </w:pPr>
      <w:r>
        <w:rPr>
          <w:color w:val="auto"/>
        </w:rPr>
        <w:t>我院与业主</w:t>
      </w:r>
      <w:r>
        <w:rPr>
          <w:rFonts w:hint="eastAsia"/>
          <w:color w:val="auto"/>
        </w:rPr>
        <w:t>签定</w:t>
      </w:r>
      <w:r>
        <w:rPr>
          <w:color w:val="auto"/>
        </w:rPr>
        <w:t>的合同</w:t>
      </w:r>
    </w:p>
    <w:p>
      <w:pPr>
        <w:pStyle w:val="86"/>
        <w:numPr>
          <w:ilvl w:val="0"/>
          <w:numId w:val="2"/>
        </w:numPr>
        <w:ind w:firstLineChars="0"/>
        <w:rPr>
          <w:color w:val="auto"/>
        </w:rPr>
      </w:pPr>
      <w:r>
        <w:rPr>
          <w:color w:val="auto"/>
        </w:rPr>
        <w:t>业主提供的地勘资料</w:t>
      </w:r>
    </w:p>
    <w:p>
      <w:pPr>
        <w:pStyle w:val="86"/>
        <w:numPr>
          <w:ilvl w:val="0"/>
          <w:numId w:val="2"/>
        </w:numPr>
        <w:ind w:firstLineChars="0"/>
        <w:rPr>
          <w:color w:val="auto"/>
        </w:rPr>
      </w:pPr>
      <w:r>
        <w:rPr>
          <w:color w:val="auto"/>
        </w:rPr>
        <w:t>业主提供的</w:t>
      </w:r>
      <w:r>
        <w:rPr>
          <w:rFonts w:hint="eastAsia"/>
          <w:color w:val="auto"/>
        </w:rPr>
        <w:t>地形管线</w:t>
      </w:r>
      <w:r>
        <w:rPr>
          <w:color w:val="auto"/>
        </w:rPr>
        <w:t>资料</w:t>
      </w:r>
    </w:p>
    <w:p>
      <w:pPr>
        <w:pStyle w:val="86"/>
        <w:numPr>
          <w:ilvl w:val="0"/>
          <w:numId w:val="2"/>
        </w:numPr>
        <w:ind w:firstLineChars="0"/>
        <w:rPr>
          <w:rStyle w:val="22"/>
          <w:i w:val="0"/>
          <w:iCs w:val="0"/>
          <w:color w:val="auto"/>
        </w:rPr>
      </w:pPr>
      <w:r>
        <w:rPr>
          <w:rFonts w:hint="eastAsia"/>
          <w:color w:val="auto"/>
          <w:lang w:eastAsia="zh-CN"/>
        </w:rPr>
        <w:t>道路专业提供的道路条件图</w:t>
      </w:r>
    </w:p>
    <w:p>
      <w:pPr>
        <w:pStyle w:val="5"/>
        <w:rPr>
          <w:color w:val="auto"/>
        </w:rPr>
      </w:pPr>
      <w:r>
        <w:rPr>
          <w:color w:val="auto"/>
        </w:rPr>
        <w:t>设计</w:t>
      </w:r>
      <w:r>
        <w:rPr>
          <w:rFonts w:hint="eastAsia"/>
          <w:color w:val="auto"/>
        </w:rPr>
        <w:t>标准</w:t>
      </w:r>
      <w:r>
        <w:rPr>
          <w:color w:val="auto"/>
        </w:rPr>
        <w:t>及</w:t>
      </w:r>
      <w:r>
        <w:rPr>
          <w:rFonts w:hint="eastAsia"/>
          <w:color w:val="auto"/>
        </w:rPr>
        <w:t>行政规范性</w:t>
      </w:r>
      <w:r>
        <w:rPr>
          <w:color w:val="auto"/>
        </w:rPr>
        <w:t>文件</w:t>
      </w:r>
    </w:p>
    <w:p>
      <w:pPr>
        <w:pStyle w:val="95"/>
        <w:rPr>
          <w:color w:val="auto"/>
        </w:rPr>
      </w:pPr>
      <w:r>
        <w:rPr>
          <w:color w:val="auto"/>
        </w:rPr>
        <w:t>国家标准</w:t>
      </w:r>
    </w:p>
    <w:p>
      <w:pPr>
        <w:pStyle w:val="86"/>
        <w:numPr>
          <w:ilvl w:val="0"/>
          <w:numId w:val="3"/>
        </w:numPr>
        <w:ind w:firstLineChars="0"/>
        <w:rPr>
          <w:color w:val="auto"/>
        </w:rPr>
      </w:pPr>
      <w:r>
        <w:rPr>
          <w:rFonts w:hint="eastAsia"/>
          <w:color w:val="auto"/>
        </w:rPr>
        <w:t>《城市</w:t>
      </w:r>
      <w:r>
        <w:rPr>
          <w:color w:val="auto"/>
        </w:rPr>
        <w:t>排水工程项目规范</w:t>
      </w:r>
      <w:r>
        <w:rPr>
          <w:rFonts w:hint="eastAsia"/>
          <w:color w:val="auto"/>
        </w:rPr>
        <w:t>》GB</w:t>
      </w:r>
      <w:r>
        <w:rPr>
          <w:color w:val="auto"/>
        </w:rPr>
        <w:t xml:space="preserve"> 55027-2022</w:t>
      </w:r>
    </w:p>
    <w:p>
      <w:pPr>
        <w:pStyle w:val="86"/>
        <w:numPr>
          <w:ilvl w:val="0"/>
          <w:numId w:val="3"/>
        </w:numPr>
        <w:ind w:firstLineChars="0"/>
        <w:rPr>
          <w:color w:val="auto"/>
        </w:rPr>
      </w:pPr>
      <w:r>
        <w:rPr>
          <w:rFonts w:hint="eastAsia"/>
          <w:color w:val="auto"/>
        </w:rPr>
        <w:t>《城市给</w:t>
      </w:r>
      <w:r>
        <w:rPr>
          <w:color w:val="auto"/>
        </w:rPr>
        <w:t>水工程项目规范</w:t>
      </w:r>
      <w:r>
        <w:rPr>
          <w:rFonts w:hint="eastAsia"/>
          <w:color w:val="auto"/>
        </w:rPr>
        <w:t>》GB</w:t>
      </w:r>
      <w:r>
        <w:rPr>
          <w:color w:val="auto"/>
        </w:rPr>
        <w:t xml:space="preserve"> 55026-2022</w:t>
      </w:r>
    </w:p>
    <w:p>
      <w:pPr>
        <w:pStyle w:val="86"/>
        <w:numPr>
          <w:ilvl w:val="0"/>
          <w:numId w:val="3"/>
        </w:numPr>
        <w:ind w:firstLineChars="0"/>
        <w:rPr>
          <w:color w:val="auto"/>
        </w:rPr>
      </w:pPr>
      <w:r>
        <w:rPr>
          <w:color w:val="auto"/>
        </w:rPr>
        <w:t>《室外排水设计</w:t>
      </w:r>
      <w:r>
        <w:rPr>
          <w:rFonts w:hint="eastAsia"/>
          <w:color w:val="auto"/>
        </w:rPr>
        <w:t>标准</w:t>
      </w:r>
      <w:r>
        <w:rPr>
          <w:color w:val="auto"/>
        </w:rPr>
        <w:t>》GB</w:t>
      </w:r>
      <w:r>
        <w:rPr>
          <w:rFonts w:hint="eastAsia"/>
          <w:color w:val="auto"/>
        </w:rPr>
        <w:t xml:space="preserve"> </w:t>
      </w:r>
      <w:r>
        <w:rPr>
          <w:color w:val="auto"/>
        </w:rPr>
        <w:t>50014-20</w:t>
      </w:r>
      <w:r>
        <w:rPr>
          <w:rFonts w:hint="eastAsia"/>
          <w:color w:val="auto"/>
        </w:rPr>
        <w:t>21</w:t>
      </w:r>
    </w:p>
    <w:p>
      <w:pPr>
        <w:pStyle w:val="86"/>
        <w:numPr>
          <w:ilvl w:val="0"/>
          <w:numId w:val="3"/>
        </w:numPr>
        <w:ind w:firstLineChars="0"/>
        <w:rPr>
          <w:color w:val="auto"/>
        </w:rPr>
      </w:pPr>
      <w:r>
        <w:rPr>
          <w:color w:val="auto"/>
        </w:rPr>
        <w:t>《室外给水设计标准》GB</w:t>
      </w:r>
      <w:r>
        <w:rPr>
          <w:rFonts w:hint="eastAsia"/>
          <w:color w:val="auto"/>
        </w:rPr>
        <w:t xml:space="preserve"> </w:t>
      </w:r>
      <w:r>
        <w:rPr>
          <w:color w:val="auto"/>
        </w:rPr>
        <w:t>50013-2018</w:t>
      </w:r>
    </w:p>
    <w:p>
      <w:pPr>
        <w:pStyle w:val="86"/>
        <w:numPr>
          <w:ilvl w:val="0"/>
          <w:numId w:val="3"/>
        </w:numPr>
        <w:ind w:firstLineChars="0"/>
        <w:rPr>
          <w:color w:val="auto"/>
        </w:rPr>
      </w:pPr>
      <w:r>
        <w:rPr>
          <w:color w:val="auto"/>
        </w:rPr>
        <w:t>《城镇内涝防治技术规范》GB</w:t>
      </w:r>
      <w:r>
        <w:rPr>
          <w:rFonts w:hint="eastAsia"/>
          <w:color w:val="auto"/>
        </w:rPr>
        <w:t xml:space="preserve"> </w:t>
      </w:r>
      <w:r>
        <w:rPr>
          <w:color w:val="auto"/>
        </w:rPr>
        <w:t>51222-2017</w:t>
      </w:r>
    </w:p>
    <w:p>
      <w:pPr>
        <w:pStyle w:val="86"/>
        <w:numPr>
          <w:ilvl w:val="0"/>
          <w:numId w:val="3"/>
        </w:numPr>
        <w:ind w:firstLineChars="0"/>
        <w:rPr>
          <w:color w:val="auto"/>
        </w:rPr>
      </w:pPr>
      <w:r>
        <w:rPr>
          <w:color w:val="auto"/>
        </w:rPr>
        <w:t>《城市工程管线综合规划规范》GB</w:t>
      </w:r>
      <w:r>
        <w:rPr>
          <w:rFonts w:hint="eastAsia"/>
          <w:color w:val="auto"/>
        </w:rPr>
        <w:t xml:space="preserve"> </w:t>
      </w:r>
      <w:r>
        <w:rPr>
          <w:color w:val="auto"/>
        </w:rPr>
        <w:t>50289-2016</w:t>
      </w:r>
    </w:p>
    <w:p>
      <w:pPr>
        <w:pStyle w:val="86"/>
        <w:numPr>
          <w:ilvl w:val="0"/>
          <w:numId w:val="3"/>
        </w:numPr>
        <w:ind w:firstLineChars="0"/>
        <w:rPr>
          <w:color w:val="auto"/>
        </w:rPr>
      </w:pPr>
      <w:r>
        <w:rPr>
          <w:color w:val="auto"/>
        </w:rPr>
        <w:t>《给水排水工程管道结构设计规范》GB</w:t>
      </w:r>
      <w:r>
        <w:rPr>
          <w:rFonts w:hint="eastAsia"/>
          <w:color w:val="auto"/>
        </w:rPr>
        <w:t xml:space="preserve"> </w:t>
      </w:r>
      <w:r>
        <w:rPr>
          <w:color w:val="auto"/>
        </w:rPr>
        <w:t>50332-2002</w:t>
      </w:r>
    </w:p>
    <w:p>
      <w:pPr>
        <w:pStyle w:val="86"/>
        <w:numPr>
          <w:ilvl w:val="0"/>
          <w:numId w:val="3"/>
        </w:numPr>
        <w:ind w:firstLineChars="0"/>
        <w:rPr>
          <w:color w:val="auto"/>
        </w:rPr>
      </w:pPr>
      <w:r>
        <w:rPr>
          <w:color w:val="auto"/>
        </w:rPr>
        <w:t>《给水排水工程构筑物结构设计规范》GB</w:t>
      </w:r>
      <w:r>
        <w:rPr>
          <w:rFonts w:hint="eastAsia"/>
          <w:color w:val="auto"/>
        </w:rPr>
        <w:t xml:space="preserve"> </w:t>
      </w:r>
      <w:r>
        <w:rPr>
          <w:color w:val="auto"/>
        </w:rPr>
        <w:t>50069-2002</w:t>
      </w:r>
    </w:p>
    <w:p>
      <w:pPr>
        <w:pStyle w:val="86"/>
        <w:numPr>
          <w:ilvl w:val="0"/>
          <w:numId w:val="3"/>
        </w:numPr>
        <w:ind w:firstLineChars="0"/>
        <w:rPr>
          <w:color w:val="auto"/>
        </w:rPr>
      </w:pPr>
      <w:r>
        <w:rPr>
          <w:color w:val="auto"/>
        </w:rPr>
        <w:t>《给水排水管道工程施工及验收规范》GB</w:t>
      </w:r>
      <w:r>
        <w:rPr>
          <w:rFonts w:hint="eastAsia"/>
          <w:color w:val="auto"/>
        </w:rPr>
        <w:t xml:space="preserve"> </w:t>
      </w:r>
      <w:r>
        <w:rPr>
          <w:color w:val="auto"/>
        </w:rPr>
        <w:t>50268-2008</w:t>
      </w:r>
    </w:p>
    <w:p>
      <w:pPr>
        <w:pStyle w:val="86"/>
        <w:numPr>
          <w:ilvl w:val="0"/>
          <w:numId w:val="3"/>
        </w:numPr>
        <w:ind w:firstLineChars="0"/>
        <w:rPr>
          <w:color w:val="auto"/>
        </w:rPr>
      </w:pPr>
      <w:r>
        <w:rPr>
          <w:color w:val="auto"/>
        </w:rPr>
        <w:t>《给水排水构筑物工程施工及验收规范》GB</w:t>
      </w:r>
      <w:r>
        <w:rPr>
          <w:rFonts w:hint="eastAsia"/>
          <w:color w:val="auto"/>
        </w:rPr>
        <w:t xml:space="preserve"> </w:t>
      </w:r>
      <w:r>
        <w:rPr>
          <w:color w:val="auto"/>
        </w:rPr>
        <w:t>50141-2008</w:t>
      </w:r>
    </w:p>
    <w:p>
      <w:pPr>
        <w:pStyle w:val="86"/>
        <w:numPr>
          <w:ilvl w:val="0"/>
          <w:numId w:val="3"/>
        </w:numPr>
        <w:ind w:firstLineChars="0"/>
        <w:rPr>
          <w:color w:val="auto"/>
        </w:rPr>
      </w:pPr>
      <w:r>
        <w:rPr>
          <w:rFonts w:hint="eastAsia"/>
          <w:color w:val="auto"/>
        </w:rPr>
        <w:t>《消防给水及消火栓系统设计规范》GB</w:t>
      </w:r>
      <w:r>
        <w:rPr>
          <w:color w:val="auto"/>
        </w:rPr>
        <w:t xml:space="preserve"> </w:t>
      </w:r>
      <w:r>
        <w:rPr>
          <w:rFonts w:hint="eastAsia"/>
          <w:color w:val="auto"/>
        </w:rPr>
        <w:t>50974-2014</w:t>
      </w:r>
    </w:p>
    <w:p>
      <w:pPr>
        <w:pStyle w:val="86"/>
        <w:numPr>
          <w:ilvl w:val="0"/>
          <w:numId w:val="3"/>
        </w:numPr>
        <w:ind w:firstLineChars="0"/>
        <w:rPr>
          <w:color w:val="auto"/>
        </w:rPr>
      </w:pPr>
      <w:r>
        <w:rPr>
          <w:rFonts w:hint="eastAsia"/>
          <w:color w:val="auto"/>
        </w:rPr>
        <w:t>《建筑设计防火规范》GB50016-2014（2018年版）</w:t>
      </w:r>
    </w:p>
    <w:p>
      <w:pPr>
        <w:pStyle w:val="86"/>
        <w:numPr>
          <w:ilvl w:val="0"/>
          <w:numId w:val="3"/>
        </w:numPr>
        <w:ind w:firstLineChars="0"/>
        <w:rPr>
          <w:color w:val="auto"/>
        </w:rPr>
      </w:pPr>
      <w:r>
        <w:rPr>
          <w:rFonts w:hint="eastAsia"/>
          <w:color w:val="auto"/>
        </w:rPr>
        <w:t>《建筑灭火器配置设计规范》GB 50140-2005</w:t>
      </w:r>
    </w:p>
    <w:p>
      <w:pPr>
        <w:pStyle w:val="86"/>
        <w:numPr>
          <w:ilvl w:val="0"/>
          <w:numId w:val="3"/>
        </w:numPr>
        <w:ind w:firstLineChars="0"/>
        <w:rPr>
          <w:color w:val="auto"/>
        </w:rPr>
      </w:pPr>
      <w:r>
        <w:rPr>
          <w:color w:val="auto"/>
        </w:rPr>
        <w:t>《混凝土结构工程施工质量验收规范》GB</w:t>
      </w:r>
      <w:r>
        <w:rPr>
          <w:rFonts w:hint="eastAsia"/>
          <w:color w:val="auto"/>
        </w:rPr>
        <w:t xml:space="preserve"> </w:t>
      </w:r>
      <w:r>
        <w:rPr>
          <w:color w:val="auto"/>
        </w:rPr>
        <w:t>50204-2015</w:t>
      </w:r>
    </w:p>
    <w:p>
      <w:pPr>
        <w:pStyle w:val="86"/>
        <w:numPr>
          <w:ilvl w:val="0"/>
          <w:numId w:val="3"/>
        </w:numPr>
        <w:ind w:firstLineChars="0"/>
        <w:rPr>
          <w:color w:val="auto"/>
        </w:rPr>
      </w:pPr>
      <w:r>
        <w:rPr>
          <w:color w:val="auto"/>
        </w:rPr>
        <w:t>《建筑设计抗震设计规范》GB</w:t>
      </w:r>
      <w:r>
        <w:rPr>
          <w:rFonts w:hint="eastAsia"/>
          <w:color w:val="auto"/>
        </w:rPr>
        <w:t xml:space="preserve"> </w:t>
      </w:r>
      <w:r>
        <w:rPr>
          <w:color w:val="auto"/>
        </w:rPr>
        <w:t>50011-2011（2016年版）</w:t>
      </w:r>
    </w:p>
    <w:p>
      <w:pPr>
        <w:pStyle w:val="86"/>
        <w:numPr>
          <w:ilvl w:val="0"/>
          <w:numId w:val="3"/>
        </w:numPr>
        <w:ind w:firstLineChars="0"/>
        <w:rPr>
          <w:color w:val="auto"/>
        </w:rPr>
      </w:pPr>
      <w:r>
        <w:rPr>
          <w:color w:val="auto"/>
        </w:rPr>
        <w:t>《城市防洪工程设计规范》</w:t>
      </w:r>
      <w:r>
        <w:rPr>
          <w:rFonts w:hint="eastAsia"/>
          <w:color w:val="auto"/>
        </w:rPr>
        <w:t>GB/T</w:t>
      </w:r>
      <w:r>
        <w:rPr>
          <w:color w:val="auto"/>
        </w:rPr>
        <w:t xml:space="preserve"> 50</w:t>
      </w:r>
      <w:r>
        <w:rPr>
          <w:rFonts w:hint="eastAsia"/>
          <w:color w:val="auto"/>
        </w:rPr>
        <w:t>805</w:t>
      </w:r>
      <w:r>
        <w:rPr>
          <w:color w:val="auto"/>
        </w:rPr>
        <w:t>-2012</w:t>
      </w:r>
    </w:p>
    <w:p>
      <w:pPr>
        <w:pStyle w:val="86"/>
        <w:numPr>
          <w:ilvl w:val="0"/>
          <w:numId w:val="3"/>
        </w:numPr>
        <w:ind w:firstLineChars="0"/>
        <w:rPr>
          <w:color w:val="auto"/>
        </w:rPr>
      </w:pPr>
      <w:r>
        <w:rPr>
          <w:rFonts w:hint="eastAsia"/>
          <w:color w:val="auto"/>
        </w:rPr>
        <w:t>《建筑</w:t>
      </w:r>
      <w:r>
        <w:rPr>
          <w:color w:val="auto"/>
        </w:rPr>
        <w:t>与小区雨水控制及利用工程技术规范</w:t>
      </w:r>
      <w:r>
        <w:rPr>
          <w:rFonts w:hint="eastAsia"/>
          <w:color w:val="auto"/>
        </w:rPr>
        <w:t>》GB</w:t>
      </w:r>
      <w:r>
        <w:rPr>
          <w:color w:val="auto"/>
        </w:rPr>
        <w:t xml:space="preserve"> 50400-2016</w:t>
      </w:r>
    </w:p>
    <w:p>
      <w:pPr>
        <w:pStyle w:val="86"/>
        <w:numPr>
          <w:ilvl w:val="0"/>
          <w:numId w:val="3"/>
        </w:numPr>
        <w:ind w:firstLineChars="0"/>
        <w:rPr>
          <w:color w:val="auto"/>
        </w:rPr>
      </w:pPr>
      <w:r>
        <w:rPr>
          <w:rFonts w:hint="eastAsia"/>
          <w:color w:val="auto"/>
        </w:rPr>
        <w:t>《城市污水再生利用 城市杂用水水质》</w:t>
      </w:r>
      <w:r>
        <w:rPr>
          <w:color w:val="auto"/>
        </w:rPr>
        <w:t>GB/T 18920-2020</w:t>
      </w:r>
    </w:p>
    <w:p>
      <w:pPr>
        <w:pStyle w:val="86"/>
        <w:numPr>
          <w:ilvl w:val="0"/>
          <w:numId w:val="3"/>
        </w:numPr>
        <w:ind w:firstLineChars="0"/>
        <w:rPr>
          <w:color w:val="auto"/>
        </w:rPr>
      </w:pPr>
      <w:r>
        <w:rPr>
          <w:color w:val="auto"/>
        </w:rPr>
        <w:t>《污水排入城镇下水道水质标准》GB/T 31962-2015</w:t>
      </w:r>
    </w:p>
    <w:p>
      <w:pPr>
        <w:pStyle w:val="86"/>
        <w:numPr>
          <w:ilvl w:val="0"/>
          <w:numId w:val="3"/>
        </w:numPr>
        <w:ind w:firstLineChars="0"/>
        <w:rPr>
          <w:color w:val="auto"/>
        </w:rPr>
      </w:pPr>
      <w:r>
        <w:rPr>
          <w:color w:val="auto"/>
        </w:rPr>
        <w:t>《海绵城市建设评价标准》GB/T 51345-2018</w:t>
      </w:r>
    </w:p>
    <w:p>
      <w:pPr>
        <w:pStyle w:val="86"/>
        <w:numPr>
          <w:ilvl w:val="0"/>
          <w:numId w:val="3"/>
        </w:numPr>
        <w:ind w:firstLineChars="0"/>
        <w:rPr>
          <w:color w:val="FF0000"/>
        </w:rPr>
      </w:pPr>
      <w:r>
        <w:rPr>
          <w:color w:val="FF0000"/>
        </w:rPr>
        <w:t>《混凝土和钢筋混凝土排水管》GB/T 11836-20</w:t>
      </w:r>
      <w:r>
        <w:rPr>
          <w:rFonts w:hint="eastAsia"/>
          <w:color w:val="FF0000"/>
          <w:lang w:val="en-US" w:eastAsia="zh-CN"/>
        </w:rPr>
        <w:t>23</w:t>
      </w:r>
    </w:p>
    <w:p>
      <w:pPr>
        <w:pStyle w:val="86"/>
        <w:numPr>
          <w:ilvl w:val="0"/>
          <w:numId w:val="3"/>
        </w:numPr>
        <w:ind w:firstLineChars="0"/>
        <w:rPr>
          <w:b w:val="0"/>
          <w:bCs w:val="0"/>
          <w:color w:val="auto"/>
        </w:rPr>
      </w:pPr>
      <w:r>
        <w:rPr>
          <w:rFonts w:hint="eastAsia"/>
          <w:b w:val="0"/>
          <w:bCs w:val="0"/>
          <w:color w:val="auto"/>
        </w:rPr>
        <w:t>《水及燃气管道用球墨铸铁管、管件和附件》GB/T 13295-20</w:t>
      </w:r>
      <w:r>
        <w:rPr>
          <w:rFonts w:hint="eastAsia"/>
          <w:b w:val="0"/>
          <w:bCs w:val="0"/>
          <w:color w:val="auto"/>
          <w:lang w:val="en-US" w:eastAsia="zh-CN"/>
        </w:rPr>
        <w:t>19</w:t>
      </w:r>
    </w:p>
    <w:p>
      <w:pPr>
        <w:pStyle w:val="86"/>
        <w:numPr>
          <w:ilvl w:val="0"/>
          <w:numId w:val="3"/>
        </w:numPr>
        <w:ind w:firstLineChars="0"/>
        <w:rPr>
          <w:color w:val="auto"/>
        </w:rPr>
      </w:pPr>
      <w:r>
        <w:rPr>
          <w:color w:val="auto"/>
        </w:rPr>
        <w:t>《低压流体输送用焊接钢管》GB/T 3091-2015</w:t>
      </w:r>
    </w:p>
    <w:p>
      <w:pPr>
        <w:pStyle w:val="86"/>
        <w:numPr>
          <w:ilvl w:val="0"/>
          <w:numId w:val="3"/>
        </w:numPr>
        <w:ind w:firstLineChars="0"/>
        <w:rPr>
          <w:color w:val="auto"/>
        </w:rPr>
      </w:pPr>
      <w:r>
        <w:rPr>
          <w:rFonts w:hint="eastAsia"/>
          <w:color w:val="auto"/>
        </w:rPr>
        <w:t>《检查井盖》</w:t>
      </w:r>
      <w:r>
        <w:rPr>
          <w:color w:val="auto"/>
        </w:rPr>
        <w:t>GB/T 23858-2009</w:t>
      </w:r>
    </w:p>
    <w:p>
      <w:pPr>
        <w:pStyle w:val="86"/>
        <w:numPr>
          <w:ilvl w:val="0"/>
          <w:numId w:val="3"/>
        </w:numPr>
        <w:ind w:firstLineChars="0"/>
        <w:rPr>
          <w:color w:val="auto"/>
        </w:rPr>
      </w:pPr>
      <w:r>
        <w:rPr>
          <w:color w:val="auto"/>
        </w:rPr>
        <w:t>《透水路面砖和透水路面板》GB/T</w:t>
      </w:r>
      <w:r>
        <w:rPr>
          <w:rFonts w:hint="eastAsia"/>
          <w:color w:val="auto"/>
        </w:rPr>
        <w:t xml:space="preserve"> </w:t>
      </w:r>
      <w:r>
        <w:rPr>
          <w:color w:val="auto"/>
        </w:rPr>
        <w:t>25993-2010</w:t>
      </w:r>
    </w:p>
    <w:p>
      <w:pPr>
        <w:pStyle w:val="86"/>
        <w:numPr>
          <w:ilvl w:val="0"/>
          <w:numId w:val="3"/>
        </w:numPr>
        <w:ind w:firstLineChars="0"/>
        <w:rPr>
          <w:rFonts w:hint="eastAsia"/>
          <w:color w:val="auto"/>
        </w:rPr>
      </w:pPr>
      <w:r>
        <w:rPr>
          <w:rFonts w:hint="eastAsia"/>
          <w:color w:val="auto"/>
        </w:rPr>
        <w:t>《建筑与市政工程抗震通用规范》（GB 55002-2021）</w:t>
      </w:r>
    </w:p>
    <w:p>
      <w:pPr>
        <w:pStyle w:val="95"/>
        <w:rPr>
          <w:color w:val="auto"/>
        </w:rPr>
      </w:pPr>
      <w:r>
        <w:rPr>
          <w:rFonts w:hint="eastAsia"/>
          <w:color w:val="auto"/>
        </w:rPr>
        <w:t>行业标准</w:t>
      </w:r>
    </w:p>
    <w:p>
      <w:pPr>
        <w:pStyle w:val="86"/>
        <w:numPr>
          <w:ilvl w:val="0"/>
          <w:numId w:val="4"/>
        </w:numPr>
        <w:ind w:firstLineChars="0"/>
        <w:rPr>
          <w:color w:val="auto"/>
        </w:rPr>
      </w:pPr>
      <w:r>
        <w:rPr>
          <w:rFonts w:hint="eastAsia"/>
          <w:color w:val="auto"/>
        </w:rPr>
        <w:t>《埋地塑料排水管道工程技术规程》CJJ 143-2010</w:t>
      </w:r>
    </w:p>
    <w:p>
      <w:pPr>
        <w:pStyle w:val="86"/>
        <w:numPr>
          <w:ilvl w:val="0"/>
          <w:numId w:val="4"/>
        </w:numPr>
        <w:ind w:firstLineChars="0"/>
        <w:rPr>
          <w:color w:val="auto"/>
        </w:rPr>
      </w:pPr>
      <w:r>
        <w:rPr>
          <w:color w:val="auto"/>
        </w:rPr>
        <w:t>《透水砖路面技术规程》CJJ/T 188-2012</w:t>
      </w:r>
    </w:p>
    <w:p>
      <w:pPr>
        <w:pStyle w:val="86"/>
        <w:numPr>
          <w:ilvl w:val="0"/>
          <w:numId w:val="4"/>
        </w:numPr>
        <w:ind w:firstLineChars="0"/>
        <w:rPr>
          <w:color w:val="auto"/>
        </w:rPr>
      </w:pPr>
      <w:r>
        <w:rPr>
          <w:color w:val="auto"/>
        </w:rPr>
        <w:t>《透水水泥混凝土路面技术规程》CJJ/T 135－2009</w:t>
      </w:r>
      <w:r>
        <w:rPr>
          <w:rFonts w:hint="eastAsia"/>
          <w:color w:val="auto"/>
          <w:lang w:val="en-US" w:eastAsia="zh-CN"/>
        </w:rPr>
        <w:t>(2023年版)</w:t>
      </w:r>
    </w:p>
    <w:p>
      <w:pPr>
        <w:pStyle w:val="86"/>
        <w:numPr>
          <w:ilvl w:val="0"/>
          <w:numId w:val="4"/>
        </w:numPr>
        <w:ind w:firstLineChars="0"/>
        <w:rPr>
          <w:color w:val="auto"/>
        </w:rPr>
      </w:pPr>
      <w:r>
        <w:rPr>
          <w:color w:val="auto"/>
        </w:rPr>
        <w:t>《砂基透水砖》（JG/T 376-2012）</w:t>
      </w:r>
    </w:p>
    <w:p>
      <w:pPr>
        <w:pStyle w:val="95"/>
        <w:rPr>
          <w:color w:val="auto"/>
        </w:rPr>
      </w:pPr>
      <w:r>
        <w:rPr>
          <w:rFonts w:hint="eastAsia"/>
          <w:color w:val="auto"/>
        </w:rPr>
        <w:t>地方</w:t>
      </w:r>
      <w:r>
        <w:rPr>
          <w:color w:val="auto"/>
        </w:rPr>
        <w:t>标准</w:t>
      </w:r>
    </w:p>
    <w:p>
      <w:pPr>
        <w:pStyle w:val="86"/>
        <w:numPr>
          <w:ilvl w:val="0"/>
          <w:numId w:val="5"/>
        </w:numPr>
        <w:ind w:firstLineChars="0"/>
        <w:rPr>
          <w:color w:val="auto"/>
        </w:rPr>
      </w:pPr>
      <w:r>
        <w:rPr>
          <w:color w:val="auto"/>
        </w:rPr>
        <w:t>《山地城市室外排水管渠设计标准》DB J50/T-296-2018</w:t>
      </w:r>
    </w:p>
    <w:p>
      <w:pPr>
        <w:pStyle w:val="86"/>
        <w:numPr>
          <w:ilvl w:val="0"/>
          <w:numId w:val="5"/>
        </w:numPr>
        <w:ind w:firstLineChars="0"/>
        <w:rPr>
          <w:color w:val="auto"/>
        </w:rPr>
      </w:pPr>
      <w:r>
        <w:rPr>
          <w:color w:val="auto"/>
        </w:rPr>
        <w:t>《</w:t>
      </w:r>
      <w:r>
        <w:rPr>
          <w:rFonts w:hint="eastAsia"/>
          <w:color w:val="auto"/>
        </w:rPr>
        <w:t>山地城市</w:t>
      </w:r>
      <w:r>
        <w:rPr>
          <w:color w:val="auto"/>
        </w:rPr>
        <w:t>内涝防治技术标准》DB J50/T-427-2022</w:t>
      </w:r>
    </w:p>
    <w:p>
      <w:pPr>
        <w:pStyle w:val="86"/>
        <w:numPr>
          <w:ilvl w:val="0"/>
          <w:numId w:val="5"/>
        </w:numPr>
        <w:ind w:firstLineChars="0"/>
        <w:rPr>
          <w:color w:val="auto"/>
        </w:rPr>
      </w:pPr>
      <w:r>
        <w:rPr>
          <w:color w:val="auto"/>
        </w:rPr>
        <w:t>《低影响开发雨水系统设计标准》DB J50/T-292-2018</w:t>
      </w:r>
    </w:p>
    <w:p>
      <w:pPr>
        <w:pStyle w:val="86"/>
        <w:numPr>
          <w:ilvl w:val="0"/>
          <w:numId w:val="5"/>
        </w:numPr>
        <w:ind w:firstLineChars="0"/>
        <w:rPr>
          <w:color w:val="FF0000"/>
        </w:rPr>
      </w:pPr>
      <w:r>
        <w:rPr>
          <w:rFonts w:hint="eastAsia"/>
          <w:color w:val="FF0000"/>
        </w:rPr>
        <w:t>《重庆市建设领域限制、禁止使用落后技术的通告》（20</w:t>
      </w:r>
      <w:r>
        <w:rPr>
          <w:rFonts w:hint="eastAsia"/>
          <w:color w:val="FF0000"/>
          <w:lang w:val="en-US" w:eastAsia="zh-CN"/>
        </w:rPr>
        <w:t>24</w:t>
      </w:r>
      <w:r>
        <w:rPr>
          <w:rFonts w:hint="eastAsia"/>
          <w:color w:val="FF0000"/>
        </w:rPr>
        <w:t>年版）</w:t>
      </w:r>
    </w:p>
    <w:p>
      <w:pPr>
        <w:pStyle w:val="95"/>
        <w:rPr>
          <w:color w:val="auto"/>
        </w:rPr>
      </w:pPr>
      <w:r>
        <w:rPr>
          <w:rFonts w:hint="eastAsia"/>
          <w:color w:val="auto"/>
        </w:rPr>
        <w:t>行政规范性</w:t>
      </w:r>
      <w:r>
        <w:rPr>
          <w:color w:val="auto"/>
        </w:rPr>
        <w:t>文件</w:t>
      </w:r>
    </w:p>
    <w:p>
      <w:pPr>
        <w:pStyle w:val="86"/>
        <w:numPr>
          <w:ilvl w:val="0"/>
          <w:numId w:val="6"/>
        </w:numPr>
        <w:ind w:firstLineChars="0"/>
        <w:rPr>
          <w:color w:val="auto"/>
        </w:rPr>
      </w:pPr>
      <w:r>
        <w:rPr>
          <w:color w:val="auto"/>
        </w:rPr>
        <w:t>《市政排水管道工程及附属设施》（06MS201）</w:t>
      </w:r>
    </w:p>
    <w:p>
      <w:pPr>
        <w:pStyle w:val="86"/>
        <w:numPr>
          <w:ilvl w:val="0"/>
          <w:numId w:val="6"/>
        </w:numPr>
        <w:ind w:firstLineChars="0"/>
        <w:rPr>
          <w:color w:val="auto"/>
        </w:rPr>
      </w:pPr>
      <w:r>
        <w:rPr>
          <w:color w:val="auto"/>
        </w:rPr>
        <w:t>《市政</w:t>
      </w:r>
      <w:r>
        <w:rPr>
          <w:rFonts w:hint="eastAsia"/>
          <w:color w:val="auto"/>
        </w:rPr>
        <w:t>给</w:t>
      </w:r>
      <w:r>
        <w:rPr>
          <w:color w:val="auto"/>
        </w:rPr>
        <w:t>水管道工程及附属设施》（07MS101）</w:t>
      </w:r>
    </w:p>
    <w:p>
      <w:pPr>
        <w:pStyle w:val="86"/>
        <w:numPr>
          <w:ilvl w:val="0"/>
          <w:numId w:val="6"/>
        </w:numPr>
        <w:ind w:firstLineChars="0"/>
        <w:rPr>
          <w:b w:val="0"/>
          <w:bCs w:val="0"/>
          <w:color w:val="auto"/>
        </w:rPr>
      </w:pPr>
      <w:r>
        <w:rPr>
          <w:rFonts w:hint="eastAsia"/>
          <w:b w:val="0"/>
          <w:bCs w:val="0"/>
          <w:color w:val="auto"/>
        </w:rPr>
        <w:t>《海绵型建筑与小区雨水控制及利用》（17S705）</w:t>
      </w:r>
    </w:p>
    <w:p>
      <w:pPr>
        <w:pStyle w:val="86"/>
        <w:numPr>
          <w:ilvl w:val="0"/>
          <w:numId w:val="6"/>
        </w:numPr>
        <w:ind w:firstLineChars="0"/>
        <w:rPr>
          <w:b w:val="0"/>
          <w:bCs w:val="0"/>
          <w:color w:val="auto"/>
        </w:rPr>
      </w:pPr>
      <w:r>
        <w:rPr>
          <w:rFonts w:hint="eastAsia"/>
          <w:b w:val="0"/>
          <w:bCs w:val="0"/>
          <w:color w:val="auto"/>
        </w:rPr>
        <w:t>《市政排水管道附属设施标准图集》（ DJBT50-159</w:t>
      </w:r>
      <w:r>
        <w:rPr>
          <w:rFonts w:hint="eastAsia"/>
          <w:b w:val="0"/>
          <w:bCs w:val="0"/>
          <w:color w:val="auto"/>
          <w:lang w:val="en-US" w:eastAsia="zh-CN"/>
        </w:rPr>
        <w:t>-</w:t>
      </w:r>
      <w:r>
        <w:rPr>
          <w:rFonts w:hint="eastAsia"/>
          <w:b w:val="0"/>
          <w:bCs w:val="0"/>
          <w:color w:val="auto"/>
        </w:rPr>
        <w:t>渝22TS02）</w:t>
      </w:r>
    </w:p>
    <w:p>
      <w:pPr>
        <w:pStyle w:val="86"/>
        <w:numPr>
          <w:ilvl w:val="0"/>
          <w:numId w:val="6"/>
        </w:numPr>
        <w:ind w:firstLineChars="0"/>
        <w:rPr>
          <w:color w:val="auto"/>
        </w:rPr>
      </w:pPr>
      <w:r>
        <w:rPr>
          <w:color w:val="auto"/>
        </w:rPr>
        <w:t>《海绵城市建设技术指南——低影响开发雨水系统构建》</w:t>
      </w:r>
      <w:r>
        <w:rPr>
          <w:rFonts w:hint="eastAsia"/>
          <w:color w:val="auto"/>
        </w:rPr>
        <w:t>（</w:t>
      </w:r>
      <w:r>
        <w:rPr>
          <w:color w:val="auto"/>
        </w:rPr>
        <w:t>2014年10月</w:t>
      </w:r>
      <w:r>
        <w:rPr>
          <w:rFonts w:hint="eastAsia"/>
          <w:color w:val="auto"/>
        </w:rPr>
        <w:t>）</w:t>
      </w:r>
      <w:r>
        <w:rPr>
          <w:color w:val="auto"/>
        </w:rPr>
        <w:t xml:space="preserve"> </w:t>
      </w:r>
    </w:p>
    <w:p>
      <w:pPr>
        <w:pStyle w:val="86"/>
        <w:numPr>
          <w:ilvl w:val="0"/>
          <w:numId w:val="6"/>
        </w:numPr>
        <w:tabs>
          <w:tab w:val="clear" w:pos="720"/>
        </w:tabs>
        <w:ind w:left="1134" w:hanging="641" w:firstLineChars="0"/>
        <w:rPr>
          <w:color w:val="auto"/>
        </w:rPr>
      </w:pPr>
      <w:r>
        <w:rPr>
          <w:color w:val="auto"/>
        </w:rPr>
        <w:t>《重庆市海绵城市规划与设计导则（试行）》（2016年12月）</w:t>
      </w:r>
    </w:p>
    <w:p>
      <w:pPr>
        <w:pStyle w:val="86"/>
        <w:numPr>
          <w:ilvl w:val="0"/>
          <w:numId w:val="6"/>
        </w:numPr>
        <w:tabs>
          <w:tab w:val="clear" w:pos="720"/>
        </w:tabs>
        <w:ind w:left="1134" w:hanging="641" w:firstLineChars="0"/>
        <w:rPr>
          <w:color w:val="auto"/>
        </w:rPr>
      </w:pPr>
      <w:r>
        <w:rPr>
          <w:color w:val="auto"/>
        </w:rPr>
        <w:t>《危险性较大的分部分项工程安全管理规定》（住建部令第37号）</w:t>
      </w:r>
    </w:p>
    <w:p>
      <w:pPr>
        <w:pStyle w:val="86"/>
        <w:numPr>
          <w:ilvl w:val="0"/>
          <w:numId w:val="6"/>
        </w:numPr>
        <w:tabs>
          <w:tab w:val="clear" w:pos="720"/>
        </w:tabs>
        <w:ind w:left="1134" w:hanging="641" w:firstLineChars="0"/>
        <w:rPr>
          <w:color w:val="auto"/>
        </w:rPr>
      </w:pPr>
      <w:r>
        <w:rPr>
          <w:color w:val="auto"/>
        </w:rPr>
        <w:t>《关于实施&lt;危险性较大的分部分项工程安全管理规定&gt;有关问题的通知》（建办质〔2018〕31号）</w:t>
      </w:r>
    </w:p>
    <w:p>
      <w:pPr>
        <w:pStyle w:val="86"/>
        <w:numPr>
          <w:ilvl w:val="0"/>
          <w:numId w:val="6"/>
        </w:numPr>
        <w:tabs>
          <w:tab w:val="clear" w:pos="720"/>
        </w:tabs>
        <w:ind w:left="1134" w:hanging="641" w:firstLineChars="0"/>
        <w:rPr>
          <w:color w:val="auto"/>
        </w:rPr>
      </w:pPr>
      <w:r>
        <w:rPr>
          <w:color w:val="auto"/>
        </w:rPr>
        <w:t>《关于印发重庆市海绵城市建设管理办法（试行）的通知》（渝府办发〔2018〕135号）</w:t>
      </w:r>
    </w:p>
    <w:p>
      <w:pPr>
        <w:pStyle w:val="86"/>
        <w:numPr>
          <w:ilvl w:val="0"/>
          <w:numId w:val="6"/>
        </w:numPr>
        <w:tabs>
          <w:tab w:val="clear" w:pos="720"/>
        </w:tabs>
        <w:ind w:left="1134" w:hanging="641" w:firstLineChars="0"/>
        <w:rPr>
          <w:color w:val="FF0000"/>
        </w:rPr>
      </w:pPr>
      <w:r>
        <w:rPr>
          <w:rFonts w:hint="eastAsia"/>
          <w:color w:val="FF0000"/>
        </w:rPr>
        <w:t>《关于印发重庆市房屋建筑和市政基础设施工程勘察设计变更管理办法的通知》（</w:t>
      </w:r>
      <w:r>
        <w:rPr>
          <w:color w:val="FF0000"/>
        </w:rPr>
        <w:t>渝建</w:t>
      </w:r>
      <w:r>
        <w:rPr>
          <w:rFonts w:hint="eastAsia"/>
          <w:color w:val="FF0000"/>
        </w:rPr>
        <w:t>发</w:t>
      </w:r>
      <w:r>
        <w:rPr>
          <w:rFonts w:hAnsi="宋体"/>
          <w:color w:val="FF0000"/>
        </w:rPr>
        <w:t>〔</w:t>
      </w:r>
      <w:r>
        <w:rPr>
          <w:color w:val="FF0000"/>
        </w:rPr>
        <w:t>20</w:t>
      </w:r>
      <w:r>
        <w:rPr>
          <w:rFonts w:hint="eastAsia"/>
          <w:color w:val="FF0000"/>
          <w:lang w:val="en-US" w:eastAsia="zh-CN"/>
        </w:rPr>
        <w:t>25</w:t>
      </w:r>
      <w:r>
        <w:rPr>
          <w:rFonts w:hAnsi="宋体"/>
          <w:color w:val="FF0000"/>
        </w:rPr>
        <w:t>〕</w:t>
      </w:r>
      <w:r>
        <w:rPr>
          <w:rFonts w:hint="eastAsia"/>
          <w:color w:val="FF0000"/>
          <w:lang w:val="en-US" w:eastAsia="zh-CN"/>
        </w:rPr>
        <w:t>1</w:t>
      </w:r>
      <w:r>
        <w:rPr>
          <w:color w:val="FF0000"/>
        </w:rPr>
        <w:t>号）</w:t>
      </w:r>
    </w:p>
    <w:p>
      <w:pPr>
        <w:pStyle w:val="86"/>
        <w:numPr>
          <w:ilvl w:val="0"/>
          <w:numId w:val="6"/>
        </w:numPr>
        <w:tabs>
          <w:tab w:val="clear" w:pos="720"/>
        </w:tabs>
        <w:ind w:left="1134" w:hanging="641" w:firstLineChars="0"/>
        <w:rPr>
          <w:color w:val="auto"/>
        </w:rPr>
      </w:pPr>
      <w:r>
        <w:rPr>
          <w:color w:val="auto"/>
        </w:rPr>
        <w:t>《重庆市住房和城乡建设委员会关于主城区城市建筑垃圾再生产品推广应用试点工作的指导意见》</w:t>
      </w:r>
      <w:r>
        <w:rPr>
          <w:rFonts w:hint="eastAsia"/>
          <w:color w:val="auto"/>
        </w:rPr>
        <w:t>（</w:t>
      </w:r>
      <w:r>
        <w:rPr>
          <w:color w:val="auto"/>
        </w:rPr>
        <w:t>渝建</w:t>
      </w:r>
      <w:r>
        <w:rPr>
          <w:rFonts w:hAnsi="宋体"/>
          <w:color w:val="auto"/>
        </w:rPr>
        <w:t>〔</w:t>
      </w:r>
      <w:r>
        <w:rPr>
          <w:color w:val="auto"/>
        </w:rPr>
        <w:t>2019</w:t>
      </w:r>
      <w:r>
        <w:rPr>
          <w:rFonts w:hAnsi="宋体"/>
          <w:color w:val="auto"/>
        </w:rPr>
        <w:t>〕</w:t>
      </w:r>
      <w:r>
        <w:rPr>
          <w:color w:val="auto"/>
        </w:rPr>
        <w:t>434号）</w:t>
      </w:r>
    </w:p>
    <w:p>
      <w:pPr>
        <w:pStyle w:val="86"/>
        <w:numPr>
          <w:ilvl w:val="0"/>
          <w:numId w:val="6"/>
        </w:numPr>
        <w:tabs>
          <w:tab w:val="clear" w:pos="720"/>
        </w:tabs>
        <w:ind w:left="1134" w:hanging="641" w:firstLineChars="0"/>
        <w:rPr>
          <w:rFonts w:hAnsi="宋体"/>
          <w:color w:val="auto"/>
        </w:rPr>
      </w:pPr>
      <w:r>
        <w:rPr>
          <w:rFonts w:hint="eastAsia" w:hAnsi="宋体"/>
          <w:color w:val="auto"/>
        </w:rPr>
        <w:t>《</w:t>
      </w:r>
      <w:r>
        <w:rPr>
          <w:rFonts w:hAnsi="宋体"/>
          <w:color w:val="auto"/>
        </w:rPr>
        <w:t>重庆市住房和城乡建设委员会关于进一步加强城市排水管网工程建设质量管理工作的通知</w:t>
      </w:r>
      <w:r>
        <w:rPr>
          <w:rFonts w:hint="eastAsia" w:hAnsi="宋体"/>
          <w:color w:val="auto"/>
        </w:rPr>
        <w:t>》（</w:t>
      </w:r>
      <w:r>
        <w:rPr>
          <w:rFonts w:hAnsi="宋体"/>
          <w:color w:val="auto"/>
        </w:rPr>
        <w:t>渝建发〔2019〕10号</w:t>
      </w:r>
      <w:r>
        <w:rPr>
          <w:rFonts w:hint="eastAsia" w:hAnsi="宋体"/>
          <w:color w:val="auto"/>
        </w:rPr>
        <w:t>）</w:t>
      </w:r>
    </w:p>
    <w:p>
      <w:pPr>
        <w:pStyle w:val="86"/>
        <w:numPr>
          <w:ilvl w:val="0"/>
          <w:numId w:val="6"/>
        </w:numPr>
        <w:tabs>
          <w:tab w:val="clear" w:pos="720"/>
        </w:tabs>
        <w:ind w:left="1134" w:hanging="641" w:firstLineChars="0"/>
        <w:rPr>
          <w:rStyle w:val="22"/>
          <w:i w:val="0"/>
          <w:iCs w:val="0"/>
          <w:color w:val="FF0000"/>
        </w:rPr>
      </w:pPr>
      <w:r>
        <w:rPr>
          <w:rFonts w:hint="eastAsia"/>
          <w:color w:val="FF0000"/>
        </w:rPr>
        <w:t>《重庆市建设领域禁止、限制使用落后技术通告（20</w:t>
      </w:r>
      <w:r>
        <w:rPr>
          <w:rFonts w:hint="eastAsia"/>
          <w:color w:val="FF0000"/>
          <w:lang w:val="en-US" w:eastAsia="zh-CN"/>
        </w:rPr>
        <w:t>24</w:t>
      </w:r>
      <w:r>
        <w:rPr>
          <w:rFonts w:hint="eastAsia"/>
          <w:color w:val="FF0000"/>
        </w:rPr>
        <w:t>年版）》</w:t>
      </w:r>
    </w:p>
    <w:p>
      <w:pPr>
        <w:pStyle w:val="86"/>
        <w:numPr>
          <w:ilvl w:val="0"/>
          <w:numId w:val="6"/>
        </w:numPr>
        <w:tabs>
          <w:tab w:val="clear" w:pos="720"/>
        </w:tabs>
        <w:ind w:left="1134" w:hanging="641" w:firstLineChars="0"/>
        <w:rPr>
          <w:color w:val="auto"/>
        </w:rPr>
      </w:pPr>
      <w:r>
        <w:rPr>
          <w:color w:val="auto"/>
        </w:rPr>
        <w:t>《重庆市海绵城市建设工程设计文件编制深度规定-低影响开发雨水系统</w:t>
      </w:r>
      <w:r>
        <w:rPr>
          <w:rFonts w:hint="eastAsia"/>
          <w:color w:val="auto"/>
        </w:rPr>
        <w:t>（试行）</w:t>
      </w:r>
      <w:r>
        <w:rPr>
          <w:color w:val="auto"/>
        </w:rPr>
        <w:t>》</w:t>
      </w:r>
      <w:r>
        <w:rPr>
          <w:rFonts w:hint="eastAsia"/>
          <w:color w:val="auto"/>
        </w:rPr>
        <w:t>（</w:t>
      </w:r>
      <w:r>
        <w:rPr>
          <w:color w:val="auto"/>
        </w:rPr>
        <w:t>2016年11月</w:t>
      </w:r>
      <w:r>
        <w:rPr>
          <w:rFonts w:hint="eastAsia"/>
          <w:color w:val="auto"/>
        </w:rPr>
        <w:t>）</w:t>
      </w:r>
    </w:p>
    <w:p>
      <w:pPr>
        <w:pStyle w:val="86"/>
        <w:numPr>
          <w:ilvl w:val="0"/>
          <w:numId w:val="6"/>
        </w:numPr>
        <w:tabs>
          <w:tab w:val="clear" w:pos="720"/>
        </w:tabs>
        <w:ind w:left="1134" w:hanging="641" w:firstLineChars="0"/>
        <w:rPr>
          <w:color w:val="FF0000"/>
        </w:rPr>
      </w:pPr>
      <w:r>
        <w:rPr>
          <w:color w:val="FF0000"/>
        </w:rPr>
        <w:t>《重庆市市政公用工程</w:t>
      </w:r>
      <w:r>
        <w:rPr>
          <w:rFonts w:hint="eastAsia"/>
          <w:color w:val="FF0000"/>
        </w:rPr>
        <w:t>施工图</w:t>
      </w:r>
      <w:r>
        <w:rPr>
          <w:color w:val="FF0000"/>
        </w:rPr>
        <w:t>设计文件编制深度规定》</w:t>
      </w:r>
      <w:r>
        <w:rPr>
          <w:rFonts w:hint="eastAsia"/>
          <w:color w:val="FF0000"/>
        </w:rPr>
        <w:t>（20</w:t>
      </w:r>
      <w:r>
        <w:rPr>
          <w:color w:val="FF0000"/>
        </w:rPr>
        <w:t>2</w:t>
      </w:r>
      <w:r>
        <w:rPr>
          <w:rFonts w:hint="eastAsia"/>
          <w:color w:val="FF0000"/>
          <w:lang w:val="en-US" w:eastAsia="zh-CN"/>
        </w:rPr>
        <w:t>4</w:t>
      </w:r>
      <w:r>
        <w:rPr>
          <w:rFonts w:hint="eastAsia"/>
          <w:color w:val="FF0000"/>
        </w:rPr>
        <w:t>年版）</w:t>
      </w:r>
    </w:p>
    <w:p>
      <w:pPr>
        <w:pStyle w:val="86"/>
        <w:numPr>
          <w:ilvl w:val="0"/>
          <w:numId w:val="6"/>
        </w:numPr>
        <w:tabs>
          <w:tab w:val="clear" w:pos="720"/>
        </w:tabs>
        <w:ind w:left="1134" w:hanging="641" w:firstLineChars="0"/>
        <w:rPr>
          <w:rFonts w:hAnsi="宋体"/>
          <w:color w:val="FF0000"/>
        </w:rPr>
      </w:pPr>
      <w:r>
        <w:rPr>
          <w:rFonts w:hint="eastAsia" w:hAnsi="宋体"/>
          <w:color w:val="FF0000"/>
        </w:rPr>
        <w:t>《</w:t>
      </w:r>
      <w:r>
        <w:rPr>
          <w:rFonts w:hAnsi="宋体"/>
          <w:color w:val="FF0000"/>
        </w:rPr>
        <w:t>重庆市市政工程施工图设计文件技术审查要点（202</w:t>
      </w:r>
      <w:r>
        <w:rPr>
          <w:rFonts w:hint="eastAsia" w:hAnsi="宋体"/>
          <w:color w:val="FF0000"/>
          <w:lang w:val="en-US" w:eastAsia="zh-CN"/>
        </w:rPr>
        <w:t>4</w:t>
      </w:r>
      <w:r>
        <w:rPr>
          <w:rFonts w:hAnsi="宋体"/>
          <w:color w:val="FF0000"/>
        </w:rPr>
        <w:t>年版）</w:t>
      </w:r>
      <w:r>
        <w:rPr>
          <w:rFonts w:hint="eastAsia" w:hAnsi="宋体"/>
          <w:color w:val="FF0000"/>
        </w:rPr>
        <w:t>》</w:t>
      </w:r>
    </w:p>
    <w:p>
      <w:pPr>
        <w:pStyle w:val="5"/>
        <w:rPr>
          <w:color w:val="auto"/>
        </w:rPr>
      </w:pPr>
      <w:r>
        <w:rPr>
          <w:color w:val="auto"/>
        </w:rPr>
        <w:t>规范强制性条文执行情况</w:t>
      </w:r>
    </w:p>
    <w:p>
      <w:pPr>
        <w:pStyle w:val="86"/>
        <w:ind w:firstLine="493"/>
        <w:rPr>
          <w:color w:val="auto"/>
        </w:rPr>
      </w:pPr>
      <w:r>
        <w:rPr>
          <w:color w:val="auto"/>
        </w:rPr>
        <w:t>本次设计不存在违反行业现行规范强制性条文的情况。</w:t>
      </w:r>
    </w:p>
    <w:p>
      <w:pPr>
        <w:pStyle w:val="4"/>
        <w:spacing w:before="176"/>
        <w:rPr>
          <w:color w:val="auto"/>
        </w:rPr>
      </w:pPr>
      <w:r>
        <w:rPr>
          <w:color w:val="auto"/>
        </w:rPr>
        <w:t>工程概况</w:t>
      </w:r>
    </w:p>
    <w:p>
      <w:pPr>
        <w:pStyle w:val="86"/>
        <w:ind w:firstLine="493"/>
        <w:rPr>
          <w:rFonts w:hint="eastAsia" w:ascii="宋体" w:hAnsi="宋体" w:eastAsia="宋体" w:cs="宋体"/>
          <w:color w:val="auto"/>
          <w:sz w:val="24"/>
          <w:szCs w:val="24"/>
          <w:lang w:eastAsia="zh-CN"/>
        </w:rPr>
      </w:pPr>
      <w:r>
        <w:rPr>
          <w:rStyle w:val="20"/>
          <w:rFonts w:hint="eastAsia"/>
          <w:color w:val="auto"/>
          <w:lang w:eastAsia="zh-CN"/>
        </w:rPr>
        <w:t>整个项目</w:t>
      </w:r>
      <w:r>
        <w:rPr>
          <w:rStyle w:val="20"/>
          <w:rFonts w:hint="eastAsia"/>
          <w:color w:val="auto"/>
        </w:rPr>
        <w:t>项目位于重庆市大渡口区石坪桥街道，新袁茄路全长456.993m，起点接现状金桥路，终点接现状金钟大道，新建城市主干路，设计车速40km/h，双向四车道，</w:t>
      </w:r>
      <w:r>
        <w:rPr>
          <w:rStyle w:val="20"/>
          <w:rFonts w:hint="eastAsia"/>
          <w:color w:val="auto"/>
          <w:lang w:eastAsia="zh-CN"/>
        </w:rPr>
        <w:t>本次设计范围远期</w:t>
      </w:r>
      <w:r>
        <w:rPr>
          <w:rStyle w:val="20"/>
          <w:rFonts w:hint="eastAsia"/>
          <w:color w:val="auto"/>
        </w:rPr>
        <w:t>标准路幅宽度44m</w:t>
      </w:r>
      <w:r>
        <w:rPr>
          <w:rStyle w:val="20"/>
          <w:rFonts w:hint="eastAsia"/>
          <w:color w:val="auto"/>
          <w:lang w:eastAsia="zh-CN"/>
        </w:rPr>
        <w:t>，近期实施</w:t>
      </w:r>
      <w:r>
        <w:rPr>
          <w:rFonts w:ascii="宋体" w:hAnsi="宋体" w:eastAsia="宋体" w:cs="宋体"/>
          <w:color w:val="auto"/>
          <w:sz w:val="24"/>
          <w:szCs w:val="24"/>
        </w:rPr>
        <w:t>标准路幅宽度为9.5m</w:t>
      </w:r>
      <w:r>
        <w:rPr>
          <w:rFonts w:hint="eastAsia" w:ascii="宋体" w:hAnsi="宋体" w:eastAsia="宋体" w:cs="宋体"/>
          <w:color w:val="auto"/>
          <w:sz w:val="24"/>
          <w:szCs w:val="24"/>
          <w:lang w:eastAsia="zh-CN"/>
        </w:rPr>
        <w:t>。</w:t>
      </w:r>
    </w:p>
    <w:p>
      <w:pPr>
        <w:pStyle w:val="86"/>
        <w:ind w:firstLine="493"/>
        <w:rPr>
          <w:rFonts w:hint="eastAsia" w:ascii="宋体" w:hAnsi="宋体" w:eastAsia="宋体" w:cs="宋体"/>
          <w:color w:val="auto"/>
          <w:sz w:val="24"/>
          <w:szCs w:val="24"/>
          <w:lang w:val="en-US" w:eastAsia="zh-CN"/>
        </w:rPr>
      </w:pPr>
      <w:r>
        <w:rPr>
          <w:rFonts w:ascii="宋体" w:hAnsi="宋体" w:eastAsia="宋体" w:cs="宋体"/>
          <w:color w:val="auto"/>
          <w:sz w:val="24"/>
          <w:szCs w:val="24"/>
        </w:rPr>
        <w:t>由于现场征地拆迁问题，新袁茄路于K0+240-K0+300段仅实施部分路基工程，其余图纸内容均</w:t>
      </w:r>
      <w:r>
        <w:rPr>
          <w:rFonts w:hint="eastAsia" w:ascii="宋体" w:hAnsi="宋体" w:cs="宋体"/>
          <w:color w:val="auto"/>
          <w:sz w:val="24"/>
          <w:szCs w:val="24"/>
          <w:lang w:eastAsia="zh-CN"/>
        </w:rPr>
        <w:t>未</w:t>
      </w:r>
      <w:r>
        <w:rPr>
          <w:rFonts w:ascii="宋体" w:hAnsi="宋体" w:eastAsia="宋体" w:cs="宋体"/>
          <w:color w:val="auto"/>
          <w:sz w:val="24"/>
          <w:szCs w:val="24"/>
        </w:rPr>
        <w:t>实施，两端形成了断头路，交通服务功能暂失。本次设计目的是为打通新袁茄路南段南北向的交通通道，利用已形成的路基宽度新建道路，使其交通功能完善。因此现对道路的设计及建设已迫在眉睫，避免将来形成交通瓶颈。</w:t>
      </w:r>
      <w:r>
        <w:rPr>
          <w:rFonts w:ascii="宋体" w:hAnsi="宋体" w:eastAsia="宋体" w:cs="宋体"/>
          <w:color w:val="auto"/>
          <w:sz w:val="24"/>
          <w:szCs w:val="24"/>
        </w:rPr>
        <w:br w:type="textWrapping"/>
      </w: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本次项目起点接现状新袁茄路南段南侧断头位置，终点接新袁茄路南段北侧断头位置，道路总长59.445m，等级为城市支路，设计速度为20km/h，标准路幅宽度为9.5m，双向两车道。本次设计包含路基工程、路面工程、交通工程、结构工程、排水工程、照明工程等。</w:t>
      </w:r>
    </w:p>
    <w:p>
      <w:pPr>
        <w:pStyle w:val="86"/>
        <w:ind w:firstLine="493"/>
        <w:rPr>
          <w:rStyle w:val="20"/>
          <w:color w:val="auto"/>
        </w:rPr>
      </w:pPr>
      <w:r>
        <w:rPr>
          <w:rStyle w:val="20"/>
          <w:rFonts w:hint="eastAsia"/>
          <w:color w:val="auto"/>
          <w:lang w:eastAsia="zh-CN"/>
        </w:rPr>
        <w:t>本部分排水部分设计说明</w:t>
      </w:r>
      <w:r>
        <w:rPr>
          <w:rStyle w:val="20"/>
          <w:rFonts w:hint="eastAsia"/>
          <w:color w:val="auto"/>
        </w:rPr>
        <w:t>。</w:t>
      </w:r>
    </w:p>
    <w:p>
      <w:pPr>
        <w:pStyle w:val="4"/>
        <w:spacing w:before="176"/>
        <w:rPr>
          <w:color w:val="auto"/>
        </w:rPr>
      </w:pPr>
      <w:r>
        <w:rPr>
          <w:rFonts w:hint="eastAsia"/>
          <w:color w:val="auto"/>
        </w:rPr>
        <w:t>初设专家审查意见执行情况</w:t>
      </w:r>
    </w:p>
    <w:p>
      <w:pPr>
        <w:pStyle w:val="86"/>
        <w:ind w:firstLine="495"/>
        <w:rPr>
          <w:b/>
          <w:color w:val="auto"/>
        </w:rPr>
      </w:pPr>
      <w:r>
        <w:rPr>
          <w:rFonts w:hint="eastAsia"/>
          <w:b/>
          <w:color w:val="auto"/>
          <w:lang w:eastAsia="zh-CN"/>
        </w:rPr>
        <w:t>无意见</w:t>
      </w:r>
      <w:r>
        <w:rPr>
          <w:b/>
          <w:color w:val="auto"/>
        </w:rPr>
        <w:t>。</w:t>
      </w:r>
    </w:p>
    <w:p>
      <w:pPr>
        <w:pStyle w:val="4"/>
        <w:spacing w:before="176"/>
        <w:rPr>
          <w:color w:val="auto"/>
        </w:rPr>
      </w:pPr>
      <w:bookmarkStart w:id="0" w:name="_Toc417637243"/>
      <w:r>
        <w:rPr>
          <w:color w:val="auto"/>
        </w:rPr>
        <w:t>排水现状</w:t>
      </w:r>
      <w:bookmarkEnd w:id="0"/>
      <w:r>
        <w:rPr>
          <w:rFonts w:hint="eastAsia"/>
          <w:color w:val="auto"/>
        </w:rPr>
        <w:t>概况</w:t>
      </w:r>
    </w:p>
    <w:p>
      <w:pPr>
        <w:ind w:firstLine="560"/>
        <w:rPr>
          <w:rFonts w:cs="仿宋"/>
          <w:color w:val="auto"/>
        </w:rPr>
      </w:pPr>
      <w:r>
        <w:rPr>
          <w:rFonts w:hint="eastAsia" w:cs="仿宋"/>
          <w:color w:val="auto"/>
        </w:rPr>
        <w:t>本次设计为</w:t>
      </w:r>
      <w:r>
        <w:rPr>
          <w:rFonts w:hint="eastAsia" w:cs="仿宋"/>
          <w:color w:val="auto"/>
          <w:lang w:eastAsia="zh-CN"/>
        </w:rPr>
        <w:t>断头路间中间临时连接道路</w:t>
      </w:r>
      <w:r>
        <w:rPr>
          <w:rFonts w:hint="eastAsia" w:cs="仿宋"/>
          <w:color w:val="auto"/>
        </w:rPr>
        <w:t>，</w:t>
      </w:r>
      <w:r>
        <w:rPr>
          <w:rFonts w:hint="eastAsia" w:cs="仿宋"/>
          <w:color w:val="auto"/>
          <w:lang w:eastAsia="zh-CN"/>
        </w:rPr>
        <w:t>断头路之间存在现状排水管网，污水管径</w:t>
      </w:r>
      <w:r>
        <w:rPr>
          <w:rFonts w:hint="eastAsia" w:cs="仿宋"/>
          <w:color w:val="auto"/>
          <w:lang w:val="en-US" w:eastAsia="zh-CN"/>
        </w:rPr>
        <w:t>d400，雨水管道管径为d400-d600</w:t>
      </w:r>
      <w:r>
        <w:rPr>
          <w:rFonts w:hint="eastAsia" w:cs="仿宋"/>
          <w:color w:val="auto"/>
        </w:rPr>
        <w:t>。</w:t>
      </w:r>
    </w:p>
    <w:p>
      <w:pPr>
        <w:pStyle w:val="98"/>
        <w:rPr>
          <w:color w:val="auto"/>
        </w:rPr>
      </w:pPr>
    </w:p>
    <w:p>
      <w:pPr>
        <w:pStyle w:val="4"/>
        <w:spacing w:before="176"/>
        <w:rPr>
          <w:color w:val="auto"/>
        </w:rPr>
      </w:pPr>
      <w:r>
        <w:rPr>
          <w:color w:val="auto"/>
        </w:rPr>
        <w:t>设计范围</w:t>
      </w:r>
    </w:p>
    <w:p>
      <w:pPr>
        <w:pStyle w:val="86"/>
        <w:ind w:firstLine="493"/>
        <w:rPr>
          <w:rFonts w:hint="eastAsia" w:eastAsia="宋体"/>
          <w:color w:val="auto"/>
          <w:lang w:eastAsia="zh-CN"/>
        </w:rPr>
      </w:pPr>
      <w:r>
        <w:rPr>
          <w:color w:val="auto"/>
        </w:rPr>
        <w:t>设计主要包括</w:t>
      </w:r>
      <w:r>
        <w:rPr>
          <w:rFonts w:hint="eastAsia"/>
          <w:color w:val="auto"/>
          <w:lang w:eastAsia="zh-CN"/>
        </w:rPr>
        <w:t>联通</w:t>
      </w:r>
      <w:r>
        <w:rPr>
          <w:color w:val="auto"/>
        </w:rPr>
        <w:t>道路市政排水工程</w:t>
      </w:r>
      <w:r>
        <w:rPr>
          <w:rFonts w:hint="eastAsia"/>
          <w:color w:val="auto"/>
          <w:lang w:eastAsia="zh-CN"/>
        </w:rPr>
        <w:t>，由于属于临时联通道路且人行道较窄，不设计海绵设施</w:t>
      </w:r>
      <w:r>
        <w:rPr>
          <w:color w:val="auto"/>
        </w:rPr>
        <w:t>。</w:t>
      </w:r>
      <w:r>
        <w:rPr>
          <w:rFonts w:hint="eastAsia"/>
          <w:color w:val="auto"/>
          <w:lang w:eastAsia="zh-CN"/>
        </w:rPr>
        <w:t>给水管线、燃气管线、通信管线仅预留未，均由权属单位同步设计实施。</w:t>
      </w:r>
    </w:p>
    <w:p>
      <w:pPr>
        <w:pStyle w:val="4"/>
        <w:spacing w:before="176"/>
        <w:rPr>
          <w:color w:val="auto"/>
        </w:rPr>
      </w:pPr>
      <w:r>
        <w:rPr>
          <w:color w:val="auto"/>
        </w:rPr>
        <w:t>排水设计原则</w:t>
      </w:r>
    </w:p>
    <w:p>
      <w:pPr>
        <w:pStyle w:val="86"/>
        <w:ind w:firstLine="493"/>
        <w:rPr>
          <w:color w:val="auto"/>
        </w:rPr>
      </w:pPr>
      <w:r>
        <w:rPr>
          <w:color w:val="auto"/>
        </w:rPr>
        <w:t>（1）排水管网设计应满足地区经济和社会长远发展的需要，排水管道均按远期设计。</w:t>
      </w:r>
    </w:p>
    <w:p>
      <w:pPr>
        <w:pStyle w:val="86"/>
        <w:ind w:firstLine="493"/>
        <w:rPr>
          <w:color w:val="auto"/>
        </w:rPr>
      </w:pPr>
      <w:r>
        <w:rPr>
          <w:color w:val="auto"/>
        </w:rPr>
        <w:t>（2）新建排水管网充分考虑区域排水现状及地块建设的情况，结合地块建设规划，在排水管道断面、平面布置、高程布置上适应功能的需要和接入的可能性、便利性。</w:t>
      </w:r>
    </w:p>
    <w:p>
      <w:pPr>
        <w:pStyle w:val="86"/>
        <w:ind w:firstLine="493"/>
        <w:rPr>
          <w:color w:val="auto"/>
        </w:rPr>
      </w:pPr>
      <w:r>
        <w:rPr>
          <w:color w:val="auto"/>
        </w:rPr>
        <w:t>（3）排水管网设计注意技术性与经济性相结合。尊重事实，在满足设计标准的前提下，尽量考虑利用现有管网体系和排水设施，并将其整合以发挥功能。</w:t>
      </w:r>
    </w:p>
    <w:p>
      <w:pPr>
        <w:pStyle w:val="86"/>
        <w:ind w:firstLine="493"/>
        <w:rPr>
          <w:color w:val="auto"/>
        </w:rPr>
      </w:pPr>
      <w:r>
        <w:rPr>
          <w:color w:val="auto"/>
        </w:rPr>
        <w:t>（4）设计选材在不断总结科研和工程实践的基础上，既考虑技术发展的趋势，积极推动新技术、新工艺、新材料的应用，同时又兼顾经济投入的合理性。不得使用淘汰产品及与国家产业政策不符的材料和产品。</w:t>
      </w:r>
    </w:p>
    <w:p>
      <w:pPr>
        <w:pStyle w:val="86"/>
        <w:ind w:firstLine="493"/>
        <w:rPr>
          <w:color w:val="auto"/>
        </w:rPr>
      </w:pPr>
      <w:r>
        <w:rPr>
          <w:color w:val="auto"/>
        </w:rPr>
        <w:t>（5）本工程范围内的排水管网，采用雨、污水分流制系统。</w:t>
      </w:r>
    </w:p>
    <w:p>
      <w:pPr>
        <w:pStyle w:val="86"/>
        <w:ind w:firstLine="493"/>
        <w:rPr>
          <w:rFonts w:hint="eastAsia"/>
          <w:color w:val="auto"/>
        </w:rPr>
      </w:pPr>
      <w:r>
        <w:rPr>
          <w:rFonts w:hint="eastAsia"/>
          <w:color w:val="auto"/>
        </w:rPr>
        <w:t>（6）污水管道、合流管道与生活给水管道相交叉时，应敷设在生活给水管道的下面。</w:t>
      </w:r>
    </w:p>
    <w:p>
      <w:pPr>
        <w:pStyle w:val="86"/>
        <w:ind w:firstLine="493"/>
        <w:rPr>
          <w:rFonts w:hint="eastAsia"/>
          <w:color w:val="FF0000"/>
        </w:rPr>
      </w:pPr>
      <w:bookmarkStart w:id="3" w:name="_GoBack"/>
      <w:r>
        <w:rPr>
          <w:rFonts w:hint="eastAsia"/>
          <w:color w:val="FF0000"/>
          <w:lang w:eastAsia="zh-CN"/>
        </w:rPr>
        <w:t>（</w:t>
      </w:r>
      <w:r>
        <w:rPr>
          <w:rFonts w:hint="eastAsia"/>
          <w:color w:val="FF0000"/>
          <w:lang w:val="en-US" w:eastAsia="zh-CN"/>
        </w:rPr>
        <w:t>7</w:t>
      </w:r>
      <w:r>
        <w:rPr>
          <w:rFonts w:hint="eastAsia"/>
          <w:color w:val="FF0000"/>
          <w:lang w:eastAsia="zh-CN"/>
        </w:rPr>
        <w:t>）本次临时道路人行道采用透水铺装等渗透</w:t>
      </w:r>
      <w:r>
        <w:rPr>
          <w:rFonts w:hint="eastAsia"/>
          <w:color w:val="FF0000"/>
        </w:rPr>
        <w:t>源头减排设施。当降雨小于年径流总量控制率所对应设计降雨量时，不应向市政雨水管渠排放未经控制的雨水。当地区整体改建时，对于相同的设计重现期，改建后的径流量不得超过原有径流量。</w:t>
      </w:r>
    </w:p>
    <w:bookmarkEnd w:id="3"/>
    <w:p>
      <w:pPr>
        <w:pStyle w:val="4"/>
        <w:spacing w:before="176"/>
        <w:rPr>
          <w:color w:val="auto"/>
        </w:rPr>
      </w:pPr>
      <w:r>
        <w:rPr>
          <w:color w:val="auto"/>
        </w:rPr>
        <w:t>市政排水系统设计</w:t>
      </w:r>
    </w:p>
    <w:p>
      <w:pPr>
        <w:pStyle w:val="5"/>
        <w:rPr>
          <w:color w:val="auto"/>
        </w:rPr>
      </w:pPr>
      <w:r>
        <w:rPr>
          <w:color w:val="auto"/>
        </w:rPr>
        <w:t>排水系统设计标准及参数</w:t>
      </w:r>
    </w:p>
    <w:p>
      <w:pPr>
        <w:pStyle w:val="86"/>
        <w:ind w:firstLine="493"/>
        <w:rPr>
          <w:color w:val="auto"/>
        </w:rPr>
      </w:pPr>
      <w:r>
        <w:rPr>
          <w:color w:val="auto"/>
        </w:rPr>
        <w:t>（1）排水体制：采用雨、污分流制。</w:t>
      </w:r>
    </w:p>
    <w:p>
      <w:pPr>
        <w:pStyle w:val="86"/>
        <w:ind w:firstLine="493"/>
        <w:rPr>
          <w:color w:val="auto"/>
        </w:rPr>
      </w:pPr>
      <w:r>
        <w:rPr>
          <w:color w:val="auto"/>
        </w:rPr>
        <w:t>（2）雨水系统设计参数：</w:t>
      </w:r>
    </w:p>
    <w:p>
      <w:pPr>
        <w:pStyle w:val="86"/>
        <w:ind w:firstLine="493"/>
        <w:rPr>
          <w:color w:val="auto"/>
        </w:rPr>
      </w:pPr>
      <w:r>
        <w:rPr>
          <w:color w:val="auto"/>
        </w:rPr>
        <w:t xml:space="preserve">               </w:t>
      </w:r>
      <w:r>
        <w:rPr>
          <w:rFonts w:hint="eastAsia"/>
          <w:color w:val="auto"/>
        </w:rPr>
        <w:t xml:space="preserve">     </w:t>
      </w:r>
      <w:r>
        <w:rPr>
          <w:color w:val="auto"/>
          <w:sz w:val="22"/>
        </w:rPr>
        <w:t xml:space="preserve"> </w:t>
      </w:r>
      <m:oMath>
        <m:sSub>
          <m:sSubPr>
            <m:ctrlPr>
              <w:rPr>
                <w:rFonts w:ascii="Cambria Math" w:hAnsi="Cambria Math"/>
                <w:i/>
                <w:color w:val="auto"/>
                <w:szCs w:val="28"/>
              </w:rPr>
            </m:ctrlPr>
          </m:sSubPr>
          <m:e>
            <m:r>
              <w:rPr>
                <w:rFonts w:ascii="Cambria Math" w:hAnsi="Cambria Math"/>
                <w:color w:val="auto"/>
                <w:szCs w:val="28"/>
              </w:rPr>
              <m:t>Q</m:t>
            </m:r>
            <m:ctrlPr>
              <w:rPr>
                <w:rFonts w:ascii="Cambria Math" w:hAnsi="Cambria Math"/>
                <w:i/>
                <w:color w:val="auto"/>
                <w:szCs w:val="28"/>
              </w:rPr>
            </m:ctrlPr>
          </m:e>
          <m:sub>
            <m:r>
              <w:rPr>
                <w:rFonts w:ascii="Cambria Math" w:hAnsi="Cambria Math"/>
                <w:color w:val="auto"/>
                <w:szCs w:val="28"/>
              </w:rPr>
              <m:t>S</m:t>
            </m:r>
            <m:ctrlPr>
              <w:rPr>
                <w:rFonts w:ascii="Cambria Math" w:hAnsi="Cambria Math"/>
                <w:i/>
                <w:color w:val="auto"/>
                <w:szCs w:val="28"/>
              </w:rPr>
            </m:ctrlPr>
          </m:sub>
        </m:sSub>
        <m:r>
          <m:rPr>
            <m:sty m:val="p"/>
          </m:rPr>
          <w:rPr>
            <w:rFonts w:ascii="Cambria Math" w:hAnsi="Cambria Math" w:eastAsia="Cambria Math"/>
            <w:color w:val="auto"/>
            <w:szCs w:val="28"/>
          </w:rPr>
          <m:t>=</m:t>
        </m:r>
        <m:r>
          <w:rPr>
            <w:rFonts w:ascii="Cambria Math" w:hAnsi="Cambria Math" w:eastAsia="Cambria Math"/>
            <w:color w:val="auto"/>
            <w:szCs w:val="28"/>
          </w:rPr>
          <m:t>qΨF</m:t>
        </m:r>
      </m:oMath>
      <w:r>
        <w:rPr>
          <w:color w:val="auto"/>
        </w:rPr>
        <w:t xml:space="preserve"> </w:t>
      </w:r>
    </w:p>
    <w:p>
      <w:pPr>
        <w:pStyle w:val="86"/>
        <w:ind w:firstLine="493"/>
        <w:rPr>
          <w:rFonts w:ascii="宋体" w:hAnsi="宋体"/>
          <w:color w:val="auto"/>
          <w:szCs w:val="28"/>
        </w:rPr>
      </w:pPr>
      <w:r>
        <w:rPr>
          <w:color w:val="auto"/>
        </w:rPr>
        <w:t>式中</w:t>
      </w:r>
      <w:r>
        <w:rPr>
          <w:rFonts w:hint="eastAsia"/>
          <w:color w:val="auto"/>
        </w:rPr>
        <w:t>：</w:t>
      </w:r>
      <m:oMath>
        <m:sSub>
          <m:sSubPr>
            <m:ctrlPr>
              <w:rPr>
                <w:rFonts w:ascii="Cambria Math" w:hAnsi="Cambria Math"/>
                <w:i/>
                <w:color w:val="auto"/>
                <w:szCs w:val="28"/>
              </w:rPr>
            </m:ctrlPr>
          </m:sSubPr>
          <m:e>
            <m:r>
              <w:rPr>
                <w:rFonts w:ascii="Cambria Math" w:hAnsi="Cambria Math"/>
                <w:color w:val="auto"/>
                <w:szCs w:val="28"/>
              </w:rPr>
              <m:t>Q</m:t>
            </m:r>
            <m:ctrlPr>
              <w:rPr>
                <w:rFonts w:ascii="Cambria Math" w:hAnsi="Cambria Math"/>
                <w:i/>
                <w:color w:val="auto"/>
                <w:szCs w:val="28"/>
              </w:rPr>
            </m:ctrlPr>
          </m:e>
          <m:sub>
            <m:r>
              <w:rPr>
                <w:rFonts w:ascii="Cambria Math" w:hAnsi="Cambria Math"/>
                <w:color w:val="auto"/>
                <w:szCs w:val="28"/>
              </w:rPr>
              <m:t>S</m:t>
            </m:r>
            <m:ctrlPr>
              <w:rPr>
                <w:rFonts w:ascii="Cambria Math" w:hAnsi="Cambria Math"/>
                <w:i/>
                <w:color w:val="auto"/>
                <w:szCs w:val="28"/>
              </w:rPr>
            </m:ctrlPr>
          </m:sub>
        </m:sSub>
      </m:oMath>
      <w:r>
        <w:rPr>
          <w:color w:val="auto"/>
          <w:szCs w:val="28"/>
        </w:rPr>
        <w:t>——</w:t>
      </w:r>
      <w:r>
        <w:rPr>
          <w:rFonts w:hint="eastAsia" w:ascii="宋体" w:hAnsi="宋体"/>
          <w:color w:val="auto"/>
          <w:szCs w:val="28"/>
        </w:rPr>
        <w:t>雨水设计流量</w:t>
      </w:r>
      <w:r>
        <w:rPr>
          <w:color w:val="auto"/>
          <w:szCs w:val="28"/>
        </w:rPr>
        <w:t>（L/s）</w:t>
      </w:r>
      <w:r>
        <w:rPr>
          <w:rFonts w:hint="eastAsia" w:ascii="宋体" w:hAnsi="宋体"/>
          <w:color w:val="auto"/>
          <w:szCs w:val="28"/>
        </w:rPr>
        <w:t>；</w:t>
      </w:r>
    </w:p>
    <w:p>
      <w:pPr>
        <w:pStyle w:val="86"/>
        <w:ind w:firstLine="1268" w:firstLineChars="516"/>
        <w:rPr>
          <w:rFonts w:ascii="宋体" w:hAnsi="宋体"/>
          <w:color w:val="auto"/>
          <w:szCs w:val="28"/>
        </w:rPr>
      </w:pPr>
      <m:oMath>
        <m:r>
          <w:rPr>
            <w:rFonts w:ascii="Cambria Math" w:hAnsi="Cambria Math" w:eastAsia="Cambria Math"/>
            <w:color w:val="auto"/>
            <w:szCs w:val="28"/>
          </w:rPr>
          <m:t>q</m:t>
        </m:r>
      </m:oMath>
      <w:r>
        <w:rPr>
          <w:color w:val="auto"/>
          <w:szCs w:val="28"/>
        </w:rPr>
        <w:t>——</w:t>
      </w:r>
      <w:r>
        <w:rPr>
          <w:rFonts w:hint="eastAsia" w:ascii="宋体" w:hAnsi="宋体"/>
          <w:color w:val="auto"/>
          <w:szCs w:val="28"/>
        </w:rPr>
        <w:t>设计暴雨</w:t>
      </w:r>
      <w:r>
        <w:rPr>
          <w:rFonts w:ascii="宋体" w:hAnsi="宋体"/>
          <w:color w:val="auto"/>
          <w:szCs w:val="28"/>
        </w:rPr>
        <w:t>强度：</w:t>
      </w:r>
    </w:p>
    <w:p>
      <w:pPr>
        <w:pStyle w:val="86"/>
        <w:ind w:firstLine="1268" w:firstLineChars="516"/>
        <w:rPr>
          <w:color w:val="auto"/>
        </w:rPr>
      </w:pPr>
      <w:r>
        <w:rPr>
          <w:color w:val="auto"/>
        </w:rPr>
        <w:t>暴雨强度（q）采用</w:t>
      </w:r>
      <w:r>
        <w:rPr>
          <w:rStyle w:val="20"/>
          <w:rFonts w:hint="eastAsia"/>
          <w:color w:val="auto"/>
        </w:rPr>
        <w:t>重庆市</w:t>
      </w:r>
      <w:r>
        <w:rPr>
          <w:rStyle w:val="20"/>
          <w:rFonts w:hint="eastAsia"/>
          <w:color w:val="auto"/>
          <w:lang w:eastAsia="zh-CN"/>
        </w:rPr>
        <w:t>大渡口</w:t>
      </w:r>
      <w:r>
        <w:rPr>
          <w:rStyle w:val="20"/>
          <w:rFonts w:hint="eastAsia"/>
          <w:color w:val="auto"/>
        </w:rPr>
        <w:t>区</w:t>
      </w:r>
      <w:r>
        <w:rPr>
          <w:color w:val="auto"/>
        </w:rPr>
        <w:t>暴雨强度公式进行计算：</w:t>
      </w:r>
    </w:p>
    <w:p>
      <w:pPr>
        <w:pStyle w:val="86"/>
        <w:ind w:firstLine="493"/>
        <w:rPr>
          <w:color w:val="auto"/>
        </w:rPr>
      </w:pPr>
      <w:r>
        <w:rPr>
          <w:color w:val="auto"/>
        </w:rPr>
        <w:t xml:space="preserve">           </w:t>
      </w:r>
      <w:r>
        <w:rPr>
          <w:rFonts w:hint="eastAsia"/>
          <w:color w:val="auto"/>
        </w:rPr>
        <w:t xml:space="preserve">    </w:t>
      </w:r>
      <w:r>
        <w:rPr>
          <w:color w:val="auto"/>
        </w:rPr>
        <w:t xml:space="preserve">  </w:t>
      </w:r>
      <w:r>
        <w:rPr>
          <w:rFonts w:ascii="华文仿宋" w:hAnsi="华文仿宋" w:eastAsia="华文仿宋"/>
          <w:position w:val="-30"/>
          <w:sz w:val="24"/>
          <w:szCs w:val="24"/>
        </w:rPr>
        <w:object>
          <v:shape id="_x0000_i1027" o:spt="75" type="#_x0000_t75" style="height:35.7pt;width:125.2pt;" o:ole="t" filled="f" o:preferrelative="t" stroked="f" coordsize="21600,21600">
            <v:path/>
            <v:fill on="f" focussize="0,0"/>
            <v:stroke on="f"/>
            <v:imagedata r:id="rId8" o:title=""/>
            <o:lock v:ext="edit" aspectratio="t"/>
            <w10:wrap type="none"/>
            <w10:anchorlock/>
          </v:shape>
          <o:OLEObject Type="Embed" ProgID="Msxml2.SAXXMLReader.5.0" ShapeID="_x0000_i1027" DrawAspect="Content" ObjectID="_1468075725" r:id="rId7">
            <o:LockedField>false</o:LockedField>
          </o:OLEObject>
        </w:object>
      </w:r>
      <w:r>
        <w:rPr>
          <w:color w:val="auto"/>
        </w:rPr>
        <w:t xml:space="preserve"> (升/ 秒•公顷)</w:t>
      </w:r>
      <w:r>
        <w:rPr>
          <w:rStyle w:val="22"/>
          <w:rFonts w:hint="eastAsia"/>
          <w:color w:val="auto"/>
        </w:rPr>
        <w:t xml:space="preserve"> </w:t>
      </w:r>
    </w:p>
    <w:p>
      <w:pPr>
        <w:pStyle w:val="86"/>
        <w:ind w:left="1974" w:leftChars="515" w:hanging="708" w:hangingChars="288"/>
        <w:rPr>
          <w:color w:val="auto"/>
        </w:rPr>
      </w:pPr>
      <w:r>
        <w:rPr>
          <w:color w:val="auto"/>
        </w:rPr>
        <w:t>ψ</w:t>
      </w:r>
      <w:r>
        <w:rPr>
          <w:color w:val="auto"/>
          <w:szCs w:val="28"/>
        </w:rPr>
        <w:t>——</w:t>
      </w:r>
      <w:r>
        <w:rPr>
          <w:color w:val="auto"/>
        </w:rPr>
        <w:t>径流系数：综合径流系数ψ=0.7</w:t>
      </w:r>
      <w:r>
        <w:rPr>
          <w:rFonts w:hint="eastAsia"/>
          <w:color w:val="auto"/>
        </w:rPr>
        <w:t>。</w:t>
      </w:r>
      <w:r>
        <w:rPr>
          <w:color w:val="auto"/>
        </w:rPr>
        <w:t>道路径流系数0.9，绿地径流系数0.4；</w:t>
      </w:r>
    </w:p>
    <w:p>
      <w:pPr>
        <w:pStyle w:val="86"/>
        <w:ind w:left="1974" w:leftChars="515" w:hanging="708" w:hangingChars="288"/>
        <w:rPr>
          <w:color w:val="auto"/>
        </w:rPr>
      </w:pPr>
      <w:r>
        <w:rPr>
          <w:color w:val="auto"/>
        </w:rPr>
        <w:t>F</w:t>
      </w:r>
      <w:r>
        <w:rPr>
          <w:color w:val="auto"/>
          <w:szCs w:val="28"/>
        </w:rPr>
        <w:t>——</w:t>
      </w:r>
      <w:r>
        <w:rPr>
          <w:color w:val="auto"/>
        </w:rPr>
        <w:t>汇水面积（hm</w:t>
      </w:r>
      <w:r>
        <w:rPr>
          <w:color w:val="auto"/>
          <w:vertAlign w:val="superscript"/>
        </w:rPr>
        <w:t>2</w:t>
      </w:r>
      <w:r>
        <w:rPr>
          <w:color w:val="auto"/>
        </w:rPr>
        <w:t>）；</w:t>
      </w:r>
    </w:p>
    <w:p>
      <w:pPr>
        <w:pStyle w:val="86"/>
        <w:ind w:left="1828" w:leftChars="513" w:hanging="567" w:hangingChars="231"/>
        <w:rPr>
          <w:color w:val="auto"/>
        </w:rPr>
      </w:pPr>
      <w:r>
        <w:rPr>
          <w:color w:val="auto"/>
        </w:rPr>
        <w:t>P</w:t>
      </w:r>
      <w:r>
        <w:rPr>
          <w:color w:val="auto"/>
          <w:szCs w:val="28"/>
        </w:rPr>
        <w:t>——</w:t>
      </w:r>
      <w:r>
        <w:rPr>
          <w:color w:val="auto"/>
        </w:rPr>
        <w:t>暴雨重现期：主线部分取P=5年，汇水面积超过50公顷的管段，重现期采用10年；立交部分P=10年；下穿道P=50年；</w:t>
      </w:r>
      <w:r>
        <w:rPr>
          <w:rFonts w:hint="eastAsia"/>
          <w:color w:val="auto"/>
        </w:rPr>
        <w:t>箱涵、</w:t>
      </w:r>
      <w:r>
        <w:rPr>
          <w:color w:val="auto"/>
        </w:rPr>
        <w:t>雨水泵站P=100年；临时排水系统P=2年</w:t>
      </w:r>
      <w:r>
        <w:rPr>
          <w:rFonts w:hint="eastAsia"/>
          <w:color w:val="auto"/>
        </w:rPr>
        <w:t>。</w:t>
      </w:r>
    </w:p>
    <w:p>
      <w:pPr>
        <w:pStyle w:val="86"/>
        <w:ind w:left="1974" w:leftChars="515" w:hanging="708" w:hangingChars="288"/>
        <w:rPr>
          <w:color w:val="auto"/>
        </w:rPr>
      </w:pPr>
      <w:r>
        <w:rPr>
          <w:color w:val="auto"/>
        </w:rPr>
        <w:t>t</w:t>
      </w:r>
      <w:r>
        <w:rPr>
          <w:color w:val="auto"/>
          <w:szCs w:val="28"/>
        </w:rPr>
        <w:t>——</w:t>
      </w:r>
      <w:r>
        <w:rPr>
          <w:color w:val="auto"/>
        </w:rPr>
        <w:t>降雨历时：t=t</w:t>
      </w:r>
      <w:r>
        <w:rPr>
          <w:color w:val="auto"/>
          <w:vertAlign w:val="subscript"/>
        </w:rPr>
        <w:t>1</w:t>
      </w:r>
      <w:r>
        <w:rPr>
          <w:color w:val="auto"/>
        </w:rPr>
        <w:t>+t</w:t>
      </w:r>
      <w:r>
        <w:rPr>
          <w:color w:val="auto"/>
          <w:vertAlign w:val="subscript"/>
        </w:rPr>
        <w:t>2</w:t>
      </w:r>
      <w:r>
        <w:rPr>
          <w:color w:val="auto"/>
        </w:rPr>
        <w:t>；</w:t>
      </w:r>
    </w:p>
    <w:p>
      <w:pPr>
        <w:pStyle w:val="86"/>
        <w:ind w:left="1974" w:leftChars="515" w:hanging="708" w:hangingChars="288"/>
        <w:rPr>
          <w:color w:val="auto"/>
        </w:rPr>
      </w:pPr>
      <w:r>
        <w:rPr>
          <w:color w:val="auto"/>
        </w:rPr>
        <w:t>t</w:t>
      </w:r>
      <w:r>
        <w:rPr>
          <w:color w:val="auto"/>
          <w:vertAlign w:val="subscript"/>
        </w:rPr>
        <w:t>1</w:t>
      </w:r>
      <w:r>
        <w:rPr>
          <w:color w:val="auto"/>
          <w:szCs w:val="28"/>
        </w:rPr>
        <w:t>——</w:t>
      </w:r>
      <w:r>
        <w:rPr>
          <w:color w:val="auto"/>
        </w:rPr>
        <w:t>地面集水时间：道路部分t</w:t>
      </w:r>
      <w:r>
        <w:rPr>
          <w:color w:val="auto"/>
          <w:vertAlign w:val="subscript"/>
        </w:rPr>
        <w:t>1</w:t>
      </w:r>
      <w:r>
        <w:rPr>
          <w:color w:val="auto"/>
        </w:rPr>
        <w:t>=5分钟；</w:t>
      </w:r>
    </w:p>
    <w:p>
      <w:pPr>
        <w:pStyle w:val="86"/>
        <w:ind w:left="1974" w:leftChars="515" w:hanging="708" w:hangingChars="288"/>
        <w:rPr>
          <w:color w:val="auto"/>
        </w:rPr>
      </w:pPr>
      <w:r>
        <w:rPr>
          <w:color w:val="auto"/>
        </w:rPr>
        <w:t>t</w:t>
      </w:r>
      <w:r>
        <w:rPr>
          <w:color w:val="auto"/>
          <w:vertAlign w:val="subscript"/>
        </w:rPr>
        <w:t>2</w:t>
      </w:r>
      <w:r>
        <w:rPr>
          <w:color w:val="auto"/>
          <w:szCs w:val="28"/>
        </w:rPr>
        <w:t>——</w:t>
      </w:r>
      <w:r>
        <w:rPr>
          <w:color w:val="auto"/>
        </w:rPr>
        <w:t>管渠内雨水流行时间。</w:t>
      </w:r>
    </w:p>
    <w:p>
      <w:pPr>
        <w:pStyle w:val="86"/>
        <w:ind w:firstLine="493"/>
        <w:rPr>
          <w:color w:val="auto"/>
        </w:rPr>
      </w:pPr>
      <w:r>
        <w:rPr>
          <w:color w:val="auto"/>
        </w:rPr>
        <w:t>（3）污水系统设计参数</w:t>
      </w:r>
    </w:p>
    <w:p>
      <w:pPr>
        <w:pStyle w:val="86"/>
        <w:ind w:firstLine="493"/>
        <w:rPr>
          <w:color w:val="auto"/>
        </w:rPr>
      </w:pPr>
      <w:r>
        <w:rPr>
          <w:color w:val="auto"/>
        </w:rPr>
        <w:t>污水设计流量Q</w:t>
      </w:r>
      <w:r>
        <w:rPr>
          <w:color w:val="auto"/>
          <w:vertAlign w:val="subscript"/>
        </w:rPr>
        <w:t>d</w:t>
      </w:r>
      <w:r>
        <w:rPr>
          <w:color w:val="auto"/>
        </w:rPr>
        <w:t>按人均综合污水量进行计算，公式如下：</w:t>
      </w:r>
    </w:p>
    <w:p>
      <w:pPr>
        <w:pStyle w:val="86"/>
        <w:ind w:firstLine="493"/>
        <w:rPr>
          <w:color w:val="auto"/>
        </w:rPr>
      </w:pPr>
      <w:r>
        <w:rPr>
          <w:color w:val="auto"/>
        </w:rPr>
        <w:t xml:space="preserve">                    </w:t>
      </w:r>
      <w:r>
        <w:rPr>
          <w:color w:val="auto"/>
        </w:rPr>
        <w:object>
          <v:shape id="_x0000_i1025" o:spt="75" type="#_x0000_t75" style="height:30.1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6" r:id="rId9">
            <o:LockedField>false</o:LockedField>
          </o:OLEObject>
        </w:object>
      </w:r>
    </w:p>
    <w:p>
      <w:pPr>
        <w:pStyle w:val="86"/>
        <w:ind w:firstLine="493"/>
        <w:rPr>
          <w:color w:val="auto"/>
        </w:rPr>
      </w:pPr>
      <w:r>
        <w:rPr>
          <w:color w:val="auto"/>
        </w:rPr>
        <w:t>式中</w:t>
      </w:r>
      <w:r>
        <w:rPr>
          <w:rFonts w:hint="eastAsia"/>
          <w:color w:val="auto"/>
        </w:rPr>
        <w:t>：</w:t>
      </w:r>
      <w:r>
        <w:rPr>
          <w:color w:val="auto"/>
        </w:rPr>
        <w:t>Q</w:t>
      </w:r>
      <w:r>
        <w:rPr>
          <w:color w:val="auto"/>
          <w:vertAlign w:val="subscript"/>
        </w:rPr>
        <w:t>d</w:t>
      </w:r>
      <w:r>
        <w:rPr>
          <w:color w:val="auto"/>
          <w:szCs w:val="28"/>
        </w:rPr>
        <w:t>——</w:t>
      </w:r>
      <w:r>
        <w:rPr>
          <w:color w:val="auto"/>
        </w:rPr>
        <w:t>设计综合生活污水设计流量（L/s）；</w:t>
      </w:r>
    </w:p>
    <w:p>
      <w:pPr>
        <w:pStyle w:val="86"/>
        <w:ind w:firstLine="1268" w:firstLineChars="516"/>
        <w:rPr>
          <w:color w:val="auto"/>
        </w:rPr>
      </w:pPr>
      <w:r>
        <w:rPr>
          <w:color w:val="auto"/>
        </w:rPr>
        <w:t>N</w:t>
      </w:r>
      <w:r>
        <w:rPr>
          <w:color w:val="auto"/>
          <w:szCs w:val="28"/>
        </w:rPr>
        <w:t>——</w:t>
      </w:r>
      <w:r>
        <w:rPr>
          <w:color w:val="auto"/>
        </w:rPr>
        <w:t>设计人口数量；</w:t>
      </w:r>
    </w:p>
    <w:p>
      <w:pPr>
        <w:pStyle w:val="86"/>
        <w:ind w:left="1974" w:leftChars="515" w:hanging="708" w:hangingChars="288"/>
        <w:rPr>
          <w:color w:val="auto"/>
        </w:rPr>
      </w:pPr>
      <w:r>
        <w:rPr>
          <w:color w:val="auto"/>
        </w:rPr>
        <w:t>q</w:t>
      </w:r>
      <w:r>
        <w:rPr>
          <w:color w:val="auto"/>
          <w:szCs w:val="28"/>
        </w:rPr>
        <w:t>——</w:t>
      </w:r>
      <w:r>
        <w:rPr>
          <w:color w:val="auto"/>
        </w:rPr>
        <w:t>人均综合污水量（L/cap.d）；</w:t>
      </w:r>
    </w:p>
    <w:p>
      <w:pPr>
        <w:pStyle w:val="86"/>
        <w:ind w:firstLine="1268" w:firstLineChars="516"/>
        <w:rPr>
          <w:color w:val="auto"/>
        </w:rPr>
      </w:pPr>
      <w:r>
        <w:rPr>
          <w:color w:val="auto"/>
        </w:rPr>
        <w:t>Kz</w:t>
      </w:r>
      <w:r>
        <w:rPr>
          <w:color w:val="auto"/>
          <w:szCs w:val="28"/>
        </w:rPr>
        <w:t>——</w:t>
      </w:r>
      <w:r>
        <w:rPr>
          <w:color w:val="auto"/>
        </w:rPr>
        <w:t>污水量总变化系数，按下表确定：</w:t>
      </w:r>
    </w:p>
    <w:tbl>
      <w:tblPr>
        <w:tblStyle w:val="24"/>
        <w:tblW w:w="81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08"/>
        <w:gridCol w:w="756"/>
        <w:gridCol w:w="662"/>
        <w:gridCol w:w="709"/>
        <w:gridCol w:w="708"/>
        <w:gridCol w:w="709"/>
        <w:gridCol w:w="709"/>
        <w:gridCol w:w="1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7" w:type="dxa"/>
            <w:vAlign w:val="center"/>
          </w:tcPr>
          <w:p>
            <w:pPr>
              <w:pStyle w:val="85"/>
              <w:rPr>
                <w:rFonts w:ascii="Times New Roman" w:hAnsi="Times New Roman" w:cs="Times New Roman"/>
                <w:color w:val="auto"/>
              </w:rPr>
            </w:pPr>
            <w:r>
              <w:rPr>
                <w:rFonts w:ascii="Times New Roman" w:hAnsi="Times New Roman" w:cs="Times New Roman"/>
                <w:color w:val="auto"/>
              </w:rPr>
              <w:t>污水平均流（L/s）</w:t>
            </w:r>
          </w:p>
        </w:tc>
        <w:tc>
          <w:tcPr>
            <w:tcW w:w="708" w:type="dxa"/>
            <w:vAlign w:val="center"/>
          </w:tcPr>
          <w:p>
            <w:pPr>
              <w:pStyle w:val="85"/>
              <w:rPr>
                <w:rFonts w:ascii="Times New Roman" w:hAnsi="Times New Roman" w:cs="Times New Roman"/>
                <w:color w:val="auto"/>
              </w:rPr>
            </w:pPr>
            <w:r>
              <w:rPr>
                <w:rFonts w:ascii="Times New Roman" w:hAnsi="Times New Roman" w:cs="Times New Roman"/>
                <w:color w:val="auto"/>
              </w:rPr>
              <w:t>5</w:t>
            </w:r>
          </w:p>
        </w:tc>
        <w:tc>
          <w:tcPr>
            <w:tcW w:w="756" w:type="dxa"/>
            <w:vAlign w:val="center"/>
          </w:tcPr>
          <w:p>
            <w:pPr>
              <w:pStyle w:val="85"/>
              <w:rPr>
                <w:rFonts w:ascii="Times New Roman" w:hAnsi="Times New Roman" w:cs="Times New Roman"/>
                <w:color w:val="auto"/>
              </w:rPr>
            </w:pPr>
            <w:r>
              <w:rPr>
                <w:rFonts w:ascii="Times New Roman" w:hAnsi="Times New Roman" w:cs="Times New Roman"/>
                <w:color w:val="auto"/>
              </w:rPr>
              <w:t>15</w:t>
            </w:r>
          </w:p>
        </w:tc>
        <w:tc>
          <w:tcPr>
            <w:tcW w:w="662" w:type="dxa"/>
            <w:vAlign w:val="center"/>
          </w:tcPr>
          <w:p>
            <w:pPr>
              <w:pStyle w:val="85"/>
              <w:rPr>
                <w:rFonts w:ascii="Times New Roman" w:hAnsi="Times New Roman" w:cs="Times New Roman"/>
                <w:color w:val="auto"/>
              </w:rPr>
            </w:pPr>
            <w:r>
              <w:rPr>
                <w:rFonts w:ascii="Times New Roman" w:hAnsi="Times New Roman" w:cs="Times New Roman"/>
                <w:color w:val="auto"/>
              </w:rPr>
              <w:t>40</w:t>
            </w:r>
          </w:p>
        </w:tc>
        <w:tc>
          <w:tcPr>
            <w:tcW w:w="709" w:type="dxa"/>
            <w:vAlign w:val="center"/>
          </w:tcPr>
          <w:p>
            <w:pPr>
              <w:pStyle w:val="85"/>
              <w:rPr>
                <w:rFonts w:ascii="Times New Roman" w:hAnsi="Times New Roman" w:cs="Times New Roman"/>
                <w:color w:val="auto"/>
              </w:rPr>
            </w:pPr>
            <w:r>
              <w:rPr>
                <w:rFonts w:ascii="Times New Roman" w:hAnsi="Times New Roman" w:cs="Times New Roman"/>
                <w:color w:val="auto"/>
              </w:rPr>
              <w:t>70</w:t>
            </w:r>
          </w:p>
        </w:tc>
        <w:tc>
          <w:tcPr>
            <w:tcW w:w="708" w:type="dxa"/>
            <w:vAlign w:val="center"/>
          </w:tcPr>
          <w:p>
            <w:pPr>
              <w:pStyle w:val="85"/>
              <w:rPr>
                <w:rFonts w:ascii="Times New Roman" w:hAnsi="Times New Roman" w:cs="Times New Roman"/>
                <w:color w:val="auto"/>
              </w:rPr>
            </w:pPr>
            <w:r>
              <w:rPr>
                <w:rFonts w:ascii="Times New Roman" w:hAnsi="Times New Roman" w:cs="Times New Roman"/>
                <w:color w:val="auto"/>
              </w:rPr>
              <w:t>100</w:t>
            </w:r>
          </w:p>
        </w:tc>
        <w:tc>
          <w:tcPr>
            <w:tcW w:w="709" w:type="dxa"/>
            <w:vAlign w:val="center"/>
          </w:tcPr>
          <w:p>
            <w:pPr>
              <w:pStyle w:val="85"/>
              <w:rPr>
                <w:rFonts w:ascii="Times New Roman" w:hAnsi="Times New Roman" w:cs="Times New Roman"/>
                <w:color w:val="auto"/>
              </w:rPr>
            </w:pPr>
            <w:r>
              <w:rPr>
                <w:rFonts w:ascii="Times New Roman" w:hAnsi="Times New Roman" w:cs="Times New Roman"/>
                <w:color w:val="auto"/>
              </w:rPr>
              <w:t>200</w:t>
            </w:r>
          </w:p>
        </w:tc>
        <w:tc>
          <w:tcPr>
            <w:tcW w:w="709" w:type="dxa"/>
            <w:vAlign w:val="center"/>
          </w:tcPr>
          <w:p>
            <w:pPr>
              <w:pStyle w:val="85"/>
              <w:rPr>
                <w:rFonts w:ascii="Times New Roman" w:hAnsi="Times New Roman" w:cs="Times New Roman"/>
                <w:color w:val="auto"/>
              </w:rPr>
            </w:pPr>
            <w:r>
              <w:rPr>
                <w:rFonts w:ascii="Times New Roman" w:hAnsi="Times New Roman" w:cs="Times New Roman"/>
                <w:color w:val="auto"/>
              </w:rPr>
              <w:t>500</w:t>
            </w:r>
          </w:p>
        </w:tc>
        <w:tc>
          <w:tcPr>
            <w:tcW w:w="1039" w:type="dxa"/>
            <w:vAlign w:val="center"/>
          </w:tcPr>
          <w:p>
            <w:pPr>
              <w:pStyle w:val="85"/>
              <w:rPr>
                <w:rFonts w:ascii="Times New Roman" w:hAnsi="Times New Roman" w:cs="Times New Roman"/>
                <w:color w:val="auto"/>
              </w:rPr>
            </w:pPr>
            <w:r>
              <w:rPr>
                <w:rFonts w:ascii="Times New Roman" w:hAnsi="Times New Roman" w:cs="Times New Roman"/>
                <w:color w:val="auto"/>
              </w:rPr>
              <w:t>&gt;1000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27" w:type="dxa"/>
            <w:vAlign w:val="center"/>
          </w:tcPr>
          <w:p>
            <w:pPr>
              <w:pStyle w:val="85"/>
              <w:rPr>
                <w:rFonts w:ascii="Times New Roman" w:hAnsi="Times New Roman" w:cs="Times New Roman"/>
                <w:color w:val="auto"/>
              </w:rPr>
            </w:pPr>
            <w:r>
              <w:rPr>
                <w:rFonts w:ascii="Times New Roman" w:hAnsi="Times New Roman" w:cs="Times New Roman"/>
                <w:color w:val="auto"/>
              </w:rPr>
              <w:t>总变化系数</w:t>
            </w:r>
          </w:p>
        </w:tc>
        <w:tc>
          <w:tcPr>
            <w:tcW w:w="708" w:type="dxa"/>
            <w:vAlign w:val="center"/>
          </w:tcPr>
          <w:p>
            <w:pPr>
              <w:pStyle w:val="85"/>
              <w:rPr>
                <w:rFonts w:ascii="Times New Roman" w:hAnsi="Times New Roman" w:cs="Times New Roman"/>
                <w:color w:val="auto"/>
              </w:rPr>
            </w:pPr>
            <w:r>
              <w:rPr>
                <w:rFonts w:ascii="Times New Roman" w:hAnsi="Times New Roman" w:cs="Times New Roman"/>
                <w:color w:val="auto"/>
              </w:rPr>
              <w:t>2.7</w:t>
            </w:r>
          </w:p>
        </w:tc>
        <w:tc>
          <w:tcPr>
            <w:tcW w:w="756" w:type="dxa"/>
            <w:vAlign w:val="center"/>
          </w:tcPr>
          <w:p>
            <w:pPr>
              <w:pStyle w:val="85"/>
              <w:rPr>
                <w:rFonts w:ascii="Times New Roman" w:hAnsi="Times New Roman" w:cs="Times New Roman"/>
                <w:color w:val="auto"/>
              </w:rPr>
            </w:pPr>
            <w:r>
              <w:rPr>
                <w:rFonts w:ascii="Times New Roman" w:hAnsi="Times New Roman" w:cs="Times New Roman"/>
                <w:color w:val="auto"/>
              </w:rPr>
              <w:t>2.4</w:t>
            </w:r>
          </w:p>
        </w:tc>
        <w:tc>
          <w:tcPr>
            <w:tcW w:w="662" w:type="dxa"/>
            <w:vAlign w:val="center"/>
          </w:tcPr>
          <w:p>
            <w:pPr>
              <w:pStyle w:val="85"/>
              <w:rPr>
                <w:rFonts w:ascii="Times New Roman" w:hAnsi="Times New Roman" w:cs="Times New Roman"/>
                <w:color w:val="auto"/>
              </w:rPr>
            </w:pPr>
            <w:r>
              <w:rPr>
                <w:rFonts w:ascii="Times New Roman" w:hAnsi="Times New Roman" w:cs="Times New Roman"/>
                <w:color w:val="auto"/>
              </w:rPr>
              <w:t>2.1</w:t>
            </w:r>
          </w:p>
        </w:tc>
        <w:tc>
          <w:tcPr>
            <w:tcW w:w="709" w:type="dxa"/>
            <w:vAlign w:val="center"/>
          </w:tcPr>
          <w:p>
            <w:pPr>
              <w:pStyle w:val="85"/>
              <w:rPr>
                <w:rFonts w:ascii="Times New Roman" w:hAnsi="Times New Roman" w:cs="Times New Roman"/>
                <w:color w:val="auto"/>
              </w:rPr>
            </w:pPr>
            <w:r>
              <w:rPr>
                <w:rFonts w:ascii="Times New Roman" w:hAnsi="Times New Roman" w:cs="Times New Roman"/>
                <w:color w:val="auto"/>
              </w:rPr>
              <w:t>2.0</w:t>
            </w:r>
          </w:p>
        </w:tc>
        <w:tc>
          <w:tcPr>
            <w:tcW w:w="708" w:type="dxa"/>
            <w:vAlign w:val="center"/>
          </w:tcPr>
          <w:p>
            <w:pPr>
              <w:pStyle w:val="85"/>
              <w:rPr>
                <w:rFonts w:ascii="Times New Roman" w:hAnsi="Times New Roman" w:cs="Times New Roman"/>
                <w:color w:val="auto"/>
              </w:rPr>
            </w:pPr>
            <w:r>
              <w:rPr>
                <w:rFonts w:ascii="Times New Roman" w:hAnsi="Times New Roman" w:cs="Times New Roman"/>
                <w:color w:val="auto"/>
              </w:rPr>
              <w:t>1.9</w:t>
            </w:r>
          </w:p>
        </w:tc>
        <w:tc>
          <w:tcPr>
            <w:tcW w:w="709" w:type="dxa"/>
            <w:vAlign w:val="center"/>
          </w:tcPr>
          <w:p>
            <w:pPr>
              <w:pStyle w:val="85"/>
              <w:rPr>
                <w:rFonts w:ascii="Times New Roman" w:hAnsi="Times New Roman" w:cs="Times New Roman"/>
                <w:color w:val="auto"/>
              </w:rPr>
            </w:pPr>
            <w:r>
              <w:rPr>
                <w:rFonts w:ascii="Times New Roman" w:hAnsi="Times New Roman" w:cs="Times New Roman"/>
                <w:color w:val="auto"/>
              </w:rPr>
              <w:t>1.8</w:t>
            </w:r>
          </w:p>
        </w:tc>
        <w:tc>
          <w:tcPr>
            <w:tcW w:w="709" w:type="dxa"/>
            <w:vAlign w:val="center"/>
          </w:tcPr>
          <w:p>
            <w:pPr>
              <w:pStyle w:val="85"/>
              <w:rPr>
                <w:rFonts w:ascii="Times New Roman" w:hAnsi="Times New Roman" w:cs="Times New Roman"/>
                <w:color w:val="auto"/>
              </w:rPr>
            </w:pPr>
            <w:r>
              <w:rPr>
                <w:rFonts w:ascii="Times New Roman" w:hAnsi="Times New Roman" w:cs="Times New Roman"/>
                <w:color w:val="auto"/>
              </w:rPr>
              <w:t>1.6</w:t>
            </w:r>
          </w:p>
        </w:tc>
        <w:tc>
          <w:tcPr>
            <w:tcW w:w="1039" w:type="dxa"/>
            <w:vAlign w:val="center"/>
          </w:tcPr>
          <w:p>
            <w:pPr>
              <w:pStyle w:val="85"/>
              <w:rPr>
                <w:rFonts w:ascii="Times New Roman" w:hAnsi="Times New Roman" w:cs="Times New Roman"/>
                <w:color w:val="auto"/>
              </w:rPr>
            </w:pPr>
            <w:r>
              <w:rPr>
                <w:rFonts w:ascii="Times New Roman" w:hAnsi="Times New Roman" w:cs="Times New Roman"/>
                <w:color w:val="auto"/>
              </w:rPr>
              <w:t>1.5</w:t>
            </w:r>
          </w:p>
        </w:tc>
      </w:tr>
    </w:tbl>
    <w:p>
      <w:pPr>
        <w:ind w:firstLine="492" w:firstLineChars="200"/>
        <w:rPr>
          <w:rStyle w:val="20"/>
          <w:color w:val="auto"/>
        </w:rPr>
      </w:pPr>
      <w:r>
        <w:rPr>
          <w:rFonts w:hint="eastAsia"/>
          <w:color w:val="auto"/>
        </w:rPr>
        <w:t>综合污水量：污水量计算按人均综合用水量考虑，规划区污水排放总量按给水总量的85%计，城市综合用水定额取值为</w:t>
      </w:r>
      <w:r>
        <w:rPr>
          <w:rFonts w:hint="eastAsia"/>
          <w:color w:val="auto"/>
          <w:lang w:val="en-US" w:eastAsia="zh-CN"/>
        </w:rPr>
        <w:t>40</w:t>
      </w:r>
      <w:r>
        <w:rPr>
          <w:rFonts w:hint="eastAsia"/>
          <w:color w:val="auto"/>
        </w:rPr>
        <w:t>0L/Cap.d，人口密度按2</w:t>
      </w:r>
      <w:r>
        <w:rPr>
          <w:rFonts w:hint="eastAsia"/>
          <w:color w:val="auto"/>
          <w:lang w:val="en-US" w:eastAsia="zh-CN"/>
        </w:rPr>
        <w:t>0</w:t>
      </w:r>
      <w:r>
        <w:rPr>
          <w:rFonts w:hint="eastAsia"/>
          <w:color w:val="auto"/>
        </w:rPr>
        <w:t>000人/平方公里计算</w:t>
      </w:r>
      <w:r>
        <w:rPr>
          <w:rStyle w:val="20"/>
          <w:rFonts w:hint="eastAsia"/>
          <w:color w:val="auto"/>
        </w:rPr>
        <w:t>。</w:t>
      </w:r>
    </w:p>
    <w:p>
      <w:pPr>
        <w:ind w:firstLine="492" w:firstLineChars="200"/>
        <w:rPr>
          <w:color w:val="auto"/>
          <w:szCs w:val="24"/>
        </w:rPr>
      </w:pPr>
      <w:r>
        <w:rPr>
          <w:color w:val="auto"/>
          <w:szCs w:val="24"/>
        </w:rPr>
        <w:t>本工程排水管道均采用管顶平接，管道粗糙系数混凝土管取</w:t>
      </w:r>
      <w:r>
        <w:rPr>
          <w:rFonts w:hint="eastAsia"/>
          <w:color w:val="auto"/>
          <w:szCs w:val="24"/>
        </w:rPr>
        <w:t>0.014，塑料管取0.01，球墨铸铁管取0.013</w:t>
      </w:r>
      <w:r>
        <w:rPr>
          <w:color w:val="auto"/>
          <w:szCs w:val="24"/>
        </w:rPr>
        <w:t>。</w:t>
      </w:r>
    </w:p>
    <w:p>
      <w:pPr>
        <w:pStyle w:val="5"/>
        <w:rPr>
          <w:color w:val="auto"/>
        </w:rPr>
      </w:pPr>
      <w:r>
        <w:rPr>
          <w:color w:val="auto"/>
        </w:rPr>
        <w:t>道路排水管网平面布置</w:t>
      </w:r>
    </w:p>
    <w:p>
      <w:pPr>
        <w:pStyle w:val="95"/>
        <w:rPr>
          <w:color w:val="auto"/>
        </w:rPr>
      </w:pPr>
      <w:r>
        <w:rPr>
          <w:color w:val="auto"/>
        </w:rPr>
        <w:t>雨水工程</w:t>
      </w:r>
    </w:p>
    <w:p>
      <w:pPr>
        <w:spacing w:line="360" w:lineRule="auto"/>
        <w:ind w:firstLine="492" w:firstLineChars="200"/>
        <w:rPr>
          <w:rFonts w:hint="default" w:ascii="Times New Roman" w:hAnsi="Times New Roman" w:cs="Times New Roman" w:eastAsiaTheme="minorEastAsia"/>
          <w:b w:val="0"/>
          <w:bCs/>
          <w:color w:val="auto"/>
          <w:sz w:val="24"/>
          <w:szCs w:val="24"/>
        </w:rPr>
      </w:pPr>
      <w:r>
        <w:rPr>
          <w:rFonts w:hint="eastAsia" w:cs="Times New Roman" w:eastAsiaTheme="minorEastAsia"/>
          <w:b w:val="0"/>
          <w:bCs/>
          <w:color w:val="auto"/>
          <w:sz w:val="24"/>
          <w:szCs w:val="24"/>
          <w:lang w:val="en-US" w:eastAsia="zh-CN"/>
        </w:rPr>
        <w:t>（</w:t>
      </w:r>
      <w:r>
        <w:rPr>
          <w:rFonts w:hint="default" w:ascii="Times New Roman" w:hAnsi="Times New Roman" w:cs="Times New Roman" w:eastAsiaTheme="minorEastAsia"/>
          <w:b w:val="0"/>
          <w:bCs/>
          <w:color w:val="auto"/>
          <w:sz w:val="24"/>
          <w:szCs w:val="24"/>
          <w:lang w:val="en-US" w:eastAsia="zh-CN"/>
        </w:rPr>
        <w:t>1</w:t>
      </w:r>
      <w:r>
        <w:rPr>
          <w:rFonts w:hint="default" w:ascii="Times New Roman" w:hAnsi="Times New Roman" w:cs="Times New Roman" w:eastAsiaTheme="minorEastAsia"/>
          <w:b w:val="0"/>
          <w:bCs/>
          <w:color w:val="auto"/>
          <w:sz w:val="24"/>
          <w:szCs w:val="24"/>
        </w:rPr>
        <w:t>）雨水管网平面布置</w:t>
      </w:r>
    </w:p>
    <w:p>
      <w:pPr>
        <w:spacing w:line="360" w:lineRule="auto"/>
        <w:ind w:firstLine="492" w:firstLineChars="200"/>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rPr>
        <w:t>功能：道路雨水管道负责收集、输送该路段道路路面</w:t>
      </w:r>
      <w:r>
        <w:rPr>
          <w:rFonts w:hint="eastAsia" w:cs="Times New Roman" w:eastAsiaTheme="minorEastAsia"/>
          <w:b w:val="0"/>
          <w:bCs/>
          <w:color w:val="auto"/>
          <w:sz w:val="24"/>
          <w:szCs w:val="24"/>
          <w:lang w:eastAsia="zh-CN"/>
        </w:rPr>
        <w:t>雨水</w:t>
      </w:r>
      <w:r>
        <w:rPr>
          <w:rFonts w:hint="default" w:ascii="Times New Roman" w:hAnsi="Times New Roman" w:cs="Times New Roman" w:eastAsiaTheme="minorEastAsia"/>
          <w:b w:val="0"/>
          <w:bCs/>
          <w:color w:val="auto"/>
          <w:sz w:val="24"/>
          <w:szCs w:val="24"/>
        </w:rPr>
        <w:t>。</w:t>
      </w:r>
    </w:p>
    <w:p>
      <w:pPr>
        <w:spacing w:line="360" w:lineRule="auto"/>
        <w:ind w:firstLine="492" w:firstLineChars="200"/>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rPr>
        <w:t>定线原则：雨水管道的布置考虑道路（包括人行道）路面及地块雨水收集的便利性。由于道路坡度较大，为保证管道流速小不对管道产生冲</w:t>
      </w:r>
      <w:r>
        <w:rPr>
          <w:color w:val="auto"/>
          <w:sz w:val="24"/>
          <w:szCs w:val="24"/>
        </w:rPr>
        <w:pict>
          <v:shape id="文本框 1" o:spid="_x0000_s1026" o:spt="202" type="#_x0000_t202" style="position:absolute;left:0pt;margin-left:296.05pt;margin-top:361.85pt;height:53.9pt;width:204.95pt;z-index:372157440;mso-width-relative:page;mso-height-relative:page;" filled="f" stroked="f" coordsize="21600,21600" o:gfxdata="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MVu7&#10;VNwAAAAMAQAADwAAAAAAAAABACAAAAAiAAAAZHJzL2Rvd25yZXYueG1sUEsBAhQAFAAAAAgAh07i&#10;QIvMLeweAgAAGAQAAA4AAAAAAAAAAQAgAAAAKwEAAGRycy9lMm9Eb2MueG1sUEsFBgAAAAAGAAYA&#10;WQEAALsFAAAAAA==&#10;">
            <v:path/>
            <v:fill on="f" focussize="0,0"/>
            <v:stroke on="f" weight="0.5pt"/>
            <v:imagedata o:title=""/>
            <o:lock v:ext="edit" aspectratio="f"/>
            <v:textbox>
              <w:txbxContent>
                <w:p>
                  <w:pPr>
                    <w:spacing w:line="360" w:lineRule="auto"/>
                    <w:ind w:firstLine="960" w:firstLineChars="400"/>
                    <w:rPr>
                      <w:rFonts w:hint="eastAsia"/>
                      <w:sz w:val="21"/>
                      <w:szCs w:val="21"/>
                      <w:lang w:val="en-US" w:eastAsia="zh-CN"/>
                    </w:rPr>
                  </w:pPr>
                  <w:r>
                    <w:rPr>
                      <w:rFonts w:hint="eastAsia"/>
                      <w:sz w:val="24"/>
                      <w:szCs w:val="24"/>
                      <w:lang w:val="en-US" w:eastAsia="zh-CN"/>
                    </w:rPr>
                    <w:t>S-SM-03</w:t>
                  </w:r>
                  <w:r>
                    <w:rPr>
                      <w:rFonts w:hint="eastAsia"/>
                      <w:sz w:val="21"/>
                      <w:szCs w:val="21"/>
                      <w:lang w:val="en-US" w:eastAsia="zh-CN"/>
                    </w:rPr>
                    <w:t xml:space="preserve">                                                                        </w:t>
                  </w:r>
                </w:p>
                <w:p>
                  <w:pPr>
                    <w:spacing w:line="360" w:lineRule="auto"/>
                    <w:ind w:firstLine="210" w:firstLineChars="100"/>
                    <w:rPr>
                      <w:rFonts w:hint="eastAsia"/>
                      <w:sz w:val="24"/>
                      <w:szCs w:val="24"/>
                      <w:lang w:val="en-US" w:eastAsia="zh-CN"/>
                    </w:rPr>
                  </w:pPr>
                  <w:r>
                    <w:rPr>
                      <w:rFonts w:hint="eastAsia"/>
                      <w:sz w:val="21"/>
                      <w:szCs w:val="21"/>
                      <w:lang w:val="en-US" w:eastAsia="zh-CN"/>
                    </w:rPr>
                    <w:t xml:space="preserve">      </w:t>
                  </w:r>
                  <w:r>
                    <w:rPr>
                      <w:rFonts w:hint="eastAsia"/>
                      <w:sz w:val="24"/>
                      <w:szCs w:val="24"/>
                      <w:lang w:eastAsia="zh-CN"/>
                    </w:rPr>
                    <w:t>施工图设计说明（</w:t>
                  </w:r>
                  <w:r>
                    <w:rPr>
                      <w:rFonts w:hint="eastAsia"/>
                      <w:sz w:val="24"/>
                      <w:szCs w:val="24"/>
                      <w:lang w:val="en-US" w:eastAsia="zh-CN"/>
                    </w:rPr>
                    <w:t>03</w:t>
                  </w:r>
                  <w:r>
                    <w:rPr>
                      <w:rFonts w:hint="eastAsia"/>
                      <w:sz w:val="24"/>
                      <w:szCs w:val="24"/>
                      <w:lang w:eastAsia="zh-CN"/>
                    </w:rPr>
                    <w:t>）</w:t>
                  </w:r>
                </w:p>
              </w:txbxContent>
            </v:textbox>
          </v:shape>
        </w:pict>
      </w:r>
      <w:r>
        <w:rPr>
          <w:rFonts w:hint="default" w:ascii="Times New Roman" w:hAnsi="Times New Roman" w:cs="Times New Roman" w:eastAsiaTheme="minorEastAsia"/>
          <w:b w:val="0"/>
          <w:bCs/>
          <w:color w:val="auto"/>
          <w:sz w:val="24"/>
          <w:szCs w:val="24"/>
        </w:rPr>
        <w:t>刷，本次设计雨水管道采用跌水方式，减小管道埋深，节约投资。</w:t>
      </w:r>
    </w:p>
    <w:p>
      <w:pPr>
        <w:ind w:firstLine="560"/>
        <w:rPr>
          <w:rFonts w:hint="eastAsia" w:eastAsia="宋体" w:cs="仿宋"/>
          <w:color w:val="auto"/>
          <w:lang w:val="en-US" w:eastAsia="zh-CN"/>
        </w:rPr>
      </w:pPr>
      <w:r>
        <w:rPr>
          <w:rFonts w:hint="eastAsia" w:cs="仿宋"/>
          <w:color w:val="auto"/>
          <w:lang w:eastAsia="zh-CN"/>
        </w:rPr>
        <w:t>沿车行道下单</w:t>
      </w:r>
      <w:r>
        <w:rPr>
          <w:rFonts w:hint="eastAsia" w:cs="仿宋"/>
          <w:color w:val="auto"/>
        </w:rPr>
        <w:t>侧布置雨水管道，管径d400~d</w:t>
      </w:r>
      <w:r>
        <w:rPr>
          <w:rFonts w:hint="eastAsia" w:cs="仿宋"/>
          <w:color w:val="auto"/>
          <w:lang w:val="en-US" w:eastAsia="zh-CN"/>
        </w:rPr>
        <w:t>500</w:t>
      </w:r>
      <w:r>
        <w:rPr>
          <w:rFonts w:hint="eastAsia" w:cs="仿宋"/>
          <w:color w:val="auto"/>
          <w:lang w:eastAsia="zh-CN"/>
        </w:rPr>
        <w:t>，距离路沿石</w:t>
      </w:r>
      <w:r>
        <w:rPr>
          <w:rFonts w:hint="eastAsia" w:cs="仿宋"/>
          <w:color w:val="auto"/>
          <w:lang w:val="en-US" w:eastAsia="zh-CN"/>
        </w:rPr>
        <w:t>2.6m。</w:t>
      </w:r>
    </w:p>
    <w:p>
      <w:pPr>
        <w:ind w:firstLine="560"/>
        <w:rPr>
          <w:color w:val="auto"/>
        </w:rPr>
      </w:pPr>
      <w:r>
        <w:rPr>
          <w:rFonts w:hint="eastAsia" w:cs="仿宋"/>
          <w:color w:val="auto"/>
        </w:rPr>
        <w:t>雨水出口：雨水管道均沿道路坡向布置，雨水管道在收集道路两侧及地块雨水后排</w:t>
      </w:r>
      <w:r>
        <w:rPr>
          <w:rFonts w:hint="eastAsia" w:cs="仿宋"/>
          <w:color w:val="auto"/>
          <w:lang w:eastAsia="zh-CN"/>
        </w:rPr>
        <w:t>现状</w:t>
      </w:r>
      <w:r>
        <w:rPr>
          <w:rFonts w:hint="eastAsia" w:cs="仿宋"/>
          <w:color w:val="auto"/>
          <w:lang w:val="en-US" w:eastAsia="zh-CN"/>
        </w:rPr>
        <w:t>d600雨水管道</w:t>
      </w:r>
      <w:r>
        <w:rPr>
          <w:rFonts w:hint="eastAsia" w:cs="仿宋"/>
          <w:color w:val="auto"/>
        </w:rPr>
        <w:t>。</w:t>
      </w:r>
    </w:p>
    <w:p>
      <w:pPr>
        <w:ind w:firstLine="492" w:firstLineChars="200"/>
        <w:rPr>
          <w:color w:val="auto"/>
        </w:rPr>
      </w:pPr>
      <w:r>
        <w:rPr>
          <w:rFonts w:hint="eastAsia"/>
          <w:color w:val="auto"/>
          <w:lang w:eastAsia="zh-CN"/>
        </w:rPr>
        <w:t>（</w:t>
      </w:r>
      <w:r>
        <w:rPr>
          <w:rFonts w:hint="eastAsia"/>
          <w:color w:val="auto"/>
          <w:lang w:val="en-US" w:eastAsia="zh-CN"/>
        </w:rPr>
        <w:t>2</w:t>
      </w:r>
      <w:r>
        <w:rPr>
          <w:color w:val="auto"/>
        </w:rPr>
        <w:t>）预留接口</w:t>
      </w:r>
    </w:p>
    <w:p>
      <w:pPr>
        <w:ind w:firstLine="492" w:firstLineChars="200"/>
        <w:rPr>
          <w:color w:val="auto"/>
        </w:rPr>
      </w:pPr>
      <w:r>
        <w:rPr>
          <w:color w:val="auto"/>
        </w:rPr>
        <w:t>本次设计道路上预留雨水支管，方便周围地块雨水的接入。</w:t>
      </w:r>
    </w:p>
    <w:p>
      <w:pPr>
        <w:ind w:firstLine="492" w:firstLineChars="200"/>
        <w:rPr>
          <w:rFonts w:hint="eastAsia" w:eastAsia="宋体"/>
          <w:color w:val="auto"/>
          <w:lang w:eastAsia="zh-CN"/>
        </w:rPr>
      </w:pPr>
      <w:r>
        <w:rPr>
          <w:rFonts w:hint="eastAsia"/>
          <w:color w:val="auto"/>
          <w:lang w:val="en-US" w:eastAsia="zh-CN"/>
        </w:rPr>
        <w:t>（3</w:t>
      </w:r>
      <w:r>
        <w:rPr>
          <w:rFonts w:hint="eastAsia"/>
          <w:color w:val="auto"/>
          <w:lang w:eastAsia="zh-CN"/>
        </w:rPr>
        <w:t>）雨水管道水力计算</w:t>
      </w:r>
    </w:p>
    <w:p>
      <w:pPr>
        <w:ind w:firstLine="818" w:firstLineChars="333"/>
        <w:rPr>
          <w:rFonts w:hint="eastAsia"/>
          <w:color w:val="auto"/>
          <w:lang w:eastAsia="zh-CN"/>
        </w:rPr>
      </w:pPr>
      <w:r>
        <w:rPr>
          <w:rFonts w:hint="eastAsia" w:cs="仿宋"/>
          <w:color w:val="auto"/>
          <w:lang w:val="en-US" w:eastAsia="zh-CN"/>
        </w:rPr>
        <w:t>1</w:t>
      </w:r>
      <w:r>
        <w:rPr>
          <w:rFonts w:hint="eastAsia" w:cs="仿宋"/>
          <w:color w:val="auto"/>
          <w:lang w:eastAsia="zh-CN"/>
        </w:rPr>
        <w:t>）雨水水力计算表</w:t>
      </w:r>
    </w:p>
    <w:tbl>
      <w:tblPr>
        <w:tblStyle w:val="24"/>
        <w:tblW w:w="10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1291"/>
        <w:gridCol w:w="1120"/>
        <w:gridCol w:w="1267"/>
        <w:gridCol w:w="1021"/>
        <w:gridCol w:w="972"/>
        <w:gridCol w:w="911"/>
        <w:gridCol w:w="1032"/>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61" w:type="dxa"/>
            <w:vAlign w:val="center"/>
          </w:tcPr>
          <w:p>
            <w:pPr>
              <w:pStyle w:val="99"/>
              <w:rPr>
                <w:rFonts w:hint="eastAsia" w:ascii="Times New Roman" w:hAnsi="Times New Roman" w:eastAsia="宋体" w:cs="Times New Roman"/>
                <w:color w:val="auto"/>
                <w:lang w:eastAsia="zh-CN"/>
              </w:rPr>
            </w:pPr>
            <w:r>
              <w:rPr>
                <w:rFonts w:hint="default" w:ascii="Times New Roman" w:hAnsi="Times New Roman" w:eastAsia="宋体" w:cs="Times New Roman"/>
                <w:color w:val="auto"/>
              </w:rPr>
              <w:t>雨</w:t>
            </w:r>
            <w:r>
              <w:rPr>
                <w:rFonts w:hint="default" w:ascii="Times New Roman" w:hAnsi="Times New Roman" w:eastAsia="宋体" w:cs="Times New Roman"/>
                <w:color w:val="auto"/>
                <w:szCs w:val="24"/>
              </w:rPr>
              <w:t>水管</w:t>
            </w:r>
            <w:r>
              <w:rPr>
                <w:rFonts w:hint="eastAsia" w:ascii="Times New Roman" w:eastAsia="宋体" w:cs="Times New Roman"/>
                <w:color w:val="auto"/>
                <w:szCs w:val="24"/>
                <w:lang w:eastAsia="zh-CN"/>
              </w:rPr>
              <w:t>段</w:t>
            </w:r>
          </w:p>
        </w:tc>
        <w:tc>
          <w:tcPr>
            <w:tcW w:w="1291" w:type="dxa"/>
            <w:vAlign w:val="center"/>
          </w:tcPr>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设计</w:t>
            </w:r>
          </w:p>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管径(mm)</w:t>
            </w:r>
          </w:p>
        </w:tc>
        <w:tc>
          <w:tcPr>
            <w:tcW w:w="1120" w:type="dxa"/>
            <w:vAlign w:val="center"/>
          </w:tcPr>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设计</w:t>
            </w:r>
          </w:p>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坡度</w:t>
            </w:r>
          </w:p>
        </w:tc>
        <w:tc>
          <w:tcPr>
            <w:tcW w:w="1267" w:type="dxa"/>
            <w:vAlign w:val="center"/>
          </w:tcPr>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设计流量（ m3/s）</w:t>
            </w:r>
          </w:p>
        </w:tc>
        <w:tc>
          <w:tcPr>
            <w:tcW w:w="1021" w:type="dxa"/>
            <w:vAlign w:val="center"/>
          </w:tcPr>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流速（m/s）</w:t>
            </w:r>
          </w:p>
        </w:tc>
        <w:tc>
          <w:tcPr>
            <w:tcW w:w="972" w:type="dxa"/>
            <w:vAlign w:val="center"/>
          </w:tcPr>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服务面积(hm2)</w:t>
            </w:r>
          </w:p>
        </w:tc>
        <w:tc>
          <w:tcPr>
            <w:tcW w:w="911" w:type="dxa"/>
            <w:vAlign w:val="center"/>
          </w:tcPr>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过流能（m3/s）</w:t>
            </w:r>
          </w:p>
        </w:tc>
        <w:tc>
          <w:tcPr>
            <w:tcW w:w="1032" w:type="dxa"/>
            <w:vAlign w:val="center"/>
          </w:tcPr>
          <w:p>
            <w:pPr>
              <w:pStyle w:val="99"/>
              <w:jc w:val="both"/>
              <w:rPr>
                <w:rFonts w:hint="default" w:ascii="Times New Roman" w:hAnsi="Times New Roman" w:eastAsia="宋体" w:cs="Times New Roman"/>
                <w:color w:val="auto"/>
              </w:rPr>
            </w:pPr>
            <w:r>
              <w:rPr>
                <w:rFonts w:hint="default" w:ascii="Times New Roman" w:hAnsi="Times New Roman" w:eastAsia="宋体" w:cs="Times New Roman"/>
                <w:color w:val="auto"/>
              </w:rPr>
              <w:t>充满度</w:t>
            </w:r>
          </w:p>
        </w:tc>
        <w:tc>
          <w:tcPr>
            <w:tcW w:w="767" w:type="dxa"/>
            <w:vAlign w:val="center"/>
          </w:tcPr>
          <w:p>
            <w:pPr>
              <w:pStyle w:val="99"/>
              <w:rPr>
                <w:rFonts w:hint="default" w:ascii="Times New Roman" w:hAnsi="Times New Roman" w:eastAsia="宋体" w:cs="Times New Roman"/>
                <w:color w:val="auto"/>
              </w:rPr>
            </w:pPr>
            <w:r>
              <w:rPr>
                <w:rFonts w:hint="default" w:ascii="Times New Roman" w:hAnsi="Times New Roman" w:eastAsia="宋体" w:cs="Times New Roman"/>
                <w:color w:val="auto"/>
              </w:rPr>
              <w:t>重现期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761"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Y5-Y6</w:t>
            </w:r>
          </w:p>
        </w:tc>
        <w:tc>
          <w:tcPr>
            <w:tcW w:w="1291"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d500</w:t>
            </w:r>
          </w:p>
        </w:tc>
        <w:tc>
          <w:tcPr>
            <w:tcW w:w="1120" w:type="dxa"/>
            <w:vAlign w:val="center"/>
          </w:tcPr>
          <w:p>
            <w:pPr>
              <w:pStyle w:val="99"/>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rPr>
              <w:t>0.0</w:t>
            </w:r>
            <w:r>
              <w:rPr>
                <w:rFonts w:hint="eastAsia" w:ascii="Times New Roman" w:eastAsia="宋体" w:cs="Times New Roman"/>
                <w:color w:val="auto"/>
                <w:lang w:val="en-US" w:eastAsia="zh-CN"/>
              </w:rPr>
              <w:t>16</w:t>
            </w:r>
          </w:p>
        </w:tc>
        <w:tc>
          <w:tcPr>
            <w:tcW w:w="1267"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0.26</w:t>
            </w:r>
          </w:p>
        </w:tc>
        <w:tc>
          <w:tcPr>
            <w:tcW w:w="1021"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3.16</w:t>
            </w:r>
          </w:p>
        </w:tc>
        <w:tc>
          <w:tcPr>
            <w:tcW w:w="972"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0.8</w:t>
            </w:r>
          </w:p>
        </w:tc>
        <w:tc>
          <w:tcPr>
            <w:tcW w:w="911"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0.62</w:t>
            </w:r>
          </w:p>
        </w:tc>
        <w:tc>
          <w:tcPr>
            <w:tcW w:w="1032" w:type="dxa"/>
            <w:vAlign w:val="center"/>
          </w:tcPr>
          <w:p>
            <w:pPr>
              <w:pStyle w:val="99"/>
              <w:rPr>
                <w:rFonts w:hint="default" w:ascii="Times New Roman" w:hAnsi="Times New Roman" w:eastAsia="宋体" w:cs="Times New Roman"/>
                <w:color w:val="auto"/>
              </w:rPr>
            </w:pPr>
            <w:r>
              <w:rPr>
                <w:rFonts w:hint="eastAsia" w:ascii="Times New Roman" w:eastAsia="宋体" w:cs="Times New Roman"/>
                <w:color w:val="auto"/>
                <w:lang w:val="en-US" w:eastAsia="zh-CN"/>
              </w:rPr>
              <w:t>1</w:t>
            </w:r>
            <w:r>
              <w:rPr>
                <w:rFonts w:hint="default" w:ascii="Times New Roman" w:hAnsi="Times New Roman" w:eastAsia="宋体" w:cs="Times New Roman"/>
                <w:color w:val="auto"/>
              </w:rPr>
              <w:t xml:space="preserve">  </w:t>
            </w:r>
          </w:p>
        </w:tc>
        <w:tc>
          <w:tcPr>
            <w:tcW w:w="767" w:type="dxa"/>
            <w:vAlign w:val="center"/>
          </w:tcPr>
          <w:p>
            <w:pPr>
              <w:pStyle w:val="99"/>
              <w:rPr>
                <w:rFonts w:hint="eastAsia" w:ascii="Times New Roman" w:hAnsi="Times New Roman" w:eastAsia="宋体" w:cs="Times New Roman"/>
                <w:color w:val="auto"/>
                <w:lang w:eastAsia="zh-CN"/>
              </w:rPr>
            </w:pPr>
            <w:r>
              <w:rPr>
                <w:rFonts w:hint="eastAsia" w:ascii="Times New Roman" w:eastAsia="宋体" w:cs="Times New Roman"/>
                <w:color w:val="auto"/>
                <w:lang w:val="en-US" w:eastAsia="zh-CN"/>
              </w:rPr>
              <w:t>5</w:t>
            </w:r>
          </w:p>
        </w:tc>
      </w:tr>
    </w:tbl>
    <w:p>
      <w:pPr>
        <w:ind w:firstLine="492" w:firstLineChars="200"/>
        <w:rPr>
          <w:rFonts w:hint="eastAsia"/>
          <w:color w:val="auto"/>
          <w:lang w:val="en-US" w:eastAsia="zh-CN"/>
        </w:rPr>
      </w:pPr>
      <w:r>
        <w:rPr>
          <w:rFonts w:hint="eastAsia" w:cs="仿宋"/>
          <w:color w:val="auto"/>
          <w:lang w:val="en-US" w:eastAsia="zh-CN"/>
        </w:rPr>
        <w:t>2</w:t>
      </w:r>
      <w:r>
        <w:rPr>
          <w:rFonts w:hint="eastAsia" w:cs="仿宋"/>
          <w:color w:val="auto"/>
          <w:lang w:eastAsia="zh-CN"/>
        </w:rPr>
        <w:t>）雨水口水力计算</w:t>
      </w:r>
    </w:p>
    <w:p>
      <w:pPr>
        <w:ind w:firstLine="480"/>
        <w:rPr>
          <w:color w:val="auto"/>
        </w:rPr>
      </w:pPr>
      <w:r>
        <w:rPr>
          <w:rFonts w:hint="eastAsia" w:ascii="宋体" w:hAnsi="宋体"/>
          <w:color w:val="auto"/>
        </w:rPr>
        <w:t>本次设计取值雨水口及连接管流量为雨水管道设计重现期计算流量的1.5倍。</w:t>
      </w:r>
    </w:p>
    <w:p>
      <w:pPr>
        <w:ind w:firstLine="0" w:firstLineChars="0"/>
        <w:jc w:val="center"/>
        <w:rPr>
          <w:rFonts w:hint="eastAsia" w:ascii="宋体" w:hAnsi="宋体"/>
          <w:color w:val="auto"/>
        </w:rPr>
      </w:pPr>
      <w:r>
        <w:rPr>
          <w:rFonts w:hint="eastAsia" w:ascii="宋体" w:hAnsi="宋体"/>
          <w:color w:val="auto"/>
        </w:rPr>
        <w:t>雨水口水力计算</w:t>
      </w:r>
    </w:p>
    <w:tbl>
      <w:tblPr>
        <w:tblStyle w:val="24"/>
        <w:tblW w:w="96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2"/>
        <w:gridCol w:w="1476"/>
        <w:gridCol w:w="1833"/>
        <w:gridCol w:w="531"/>
        <w:gridCol w:w="2329"/>
        <w:gridCol w:w="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tblHeader/>
          <w:jc w:val="center"/>
        </w:trPr>
        <w:tc>
          <w:tcPr>
            <w:tcW w:w="2862"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双箅雨水口过流能力（l/s）</w:t>
            </w:r>
          </w:p>
        </w:tc>
        <w:tc>
          <w:tcPr>
            <w:tcW w:w="1476"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服务面积(m2)</w:t>
            </w:r>
          </w:p>
        </w:tc>
        <w:tc>
          <w:tcPr>
            <w:tcW w:w="1833"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降雨历时t（min）</w:t>
            </w:r>
          </w:p>
        </w:tc>
        <w:tc>
          <w:tcPr>
            <w:tcW w:w="531"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重现期</w:t>
            </w:r>
          </w:p>
        </w:tc>
        <w:tc>
          <w:tcPr>
            <w:tcW w:w="2329"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设计流量×1.5（l/s）</w:t>
            </w:r>
          </w:p>
        </w:tc>
        <w:tc>
          <w:tcPr>
            <w:tcW w:w="625"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862"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35</w:t>
            </w:r>
          </w:p>
        </w:tc>
        <w:tc>
          <w:tcPr>
            <w:tcW w:w="1476"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120</w:t>
            </w:r>
          </w:p>
        </w:tc>
        <w:tc>
          <w:tcPr>
            <w:tcW w:w="1833" w:type="dxa"/>
            <w:vAlign w:val="center"/>
          </w:tcPr>
          <w:p>
            <w:pPr>
              <w:pStyle w:val="99"/>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val="en-US" w:eastAsia="zh-CN"/>
              </w:rPr>
              <w:t>6</w:t>
            </w:r>
          </w:p>
        </w:tc>
        <w:tc>
          <w:tcPr>
            <w:tcW w:w="531"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10年</w:t>
            </w:r>
          </w:p>
        </w:tc>
        <w:tc>
          <w:tcPr>
            <w:tcW w:w="2329" w:type="dxa"/>
            <w:vAlign w:val="center"/>
          </w:tcPr>
          <w:p>
            <w:pPr>
              <w:pStyle w:val="99"/>
              <w:rPr>
                <w:rFonts w:hint="default" w:ascii="Times New Roman" w:hAnsi="Times New Roman" w:eastAsia="宋体" w:cs="Times New Roman"/>
                <w:color w:val="auto"/>
                <w:lang w:val="en-US" w:eastAsia="zh-CN"/>
              </w:rPr>
            </w:pPr>
            <w:r>
              <w:rPr>
                <w:rFonts w:hint="eastAsia" w:ascii="Times New Roman" w:eastAsia="宋体" w:cs="Times New Roman"/>
                <w:color w:val="auto"/>
                <w:lang w:val="en-US" w:eastAsia="zh-CN"/>
              </w:rPr>
              <w:t>16.2</w:t>
            </w:r>
          </w:p>
        </w:tc>
        <w:tc>
          <w:tcPr>
            <w:tcW w:w="625"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满足</w:t>
            </w:r>
          </w:p>
        </w:tc>
      </w:tr>
    </w:tbl>
    <w:p>
      <w:pPr>
        <w:ind w:firstLine="0" w:firstLineChars="0"/>
        <w:jc w:val="center"/>
        <w:rPr>
          <w:rFonts w:hint="eastAsia" w:ascii="宋体" w:hAnsi="宋体"/>
          <w:color w:val="auto"/>
        </w:rPr>
      </w:pPr>
      <w:r>
        <w:rPr>
          <w:rFonts w:hint="eastAsia" w:ascii="宋体" w:hAnsi="宋体"/>
          <w:color w:val="auto"/>
        </w:rPr>
        <w:t>雨水口连接管水力计算</w:t>
      </w:r>
    </w:p>
    <w:tbl>
      <w:tblPr>
        <w:tblStyle w:val="24"/>
        <w:tblW w:w="96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021"/>
        <w:gridCol w:w="503"/>
        <w:gridCol w:w="1242"/>
        <w:gridCol w:w="1855"/>
        <w:gridCol w:w="1856"/>
        <w:gridCol w:w="461"/>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tblHeader/>
          <w:jc w:val="center"/>
        </w:trPr>
        <w:tc>
          <w:tcPr>
            <w:tcW w:w="910"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雨水口连接管 (mm)</w:t>
            </w:r>
          </w:p>
        </w:tc>
        <w:tc>
          <w:tcPr>
            <w:tcW w:w="2021"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降雨历时t（min）</w:t>
            </w:r>
          </w:p>
        </w:tc>
        <w:tc>
          <w:tcPr>
            <w:tcW w:w="503"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重现期</w:t>
            </w:r>
          </w:p>
        </w:tc>
        <w:tc>
          <w:tcPr>
            <w:tcW w:w="1242"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设计流量×1.5（l/s）</w:t>
            </w:r>
          </w:p>
        </w:tc>
        <w:tc>
          <w:tcPr>
            <w:tcW w:w="1855"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设计坡度（l/s）</w:t>
            </w:r>
          </w:p>
        </w:tc>
        <w:tc>
          <w:tcPr>
            <w:tcW w:w="1856"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过流能力（L/s）</w:t>
            </w:r>
          </w:p>
        </w:tc>
        <w:tc>
          <w:tcPr>
            <w:tcW w:w="461"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校核</w:t>
            </w:r>
          </w:p>
        </w:tc>
        <w:tc>
          <w:tcPr>
            <w:tcW w:w="808"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服务面积(m2)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910"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d300</w:t>
            </w:r>
          </w:p>
        </w:tc>
        <w:tc>
          <w:tcPr>
            <w:tcW w:w="2021" w:type="dxa"/>
            <w:vAlign w:val="center"/>
          </w:tcPr>
          <w:p>
            <w:pPr>
              <w:pStyle w:val="99"/>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val="en-US" w:eastAsia="zh-CN"/>
              </w:rPr>
              <w:t>6</w:t>
            </w:r>
          </w:p>
        </w:tc>
        <w:tc>
          <w:tcPr>
            <w:tcW w:w="503"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10</w:t>
            </w:r>
          </w:p>
        </w:tc>
        <w:tc>
          <w:tcPr>
            <w:tcW w:w="1242" w:type="dxa"/>
            <w:vAlign w:val="center"/>
          </w:tcPr>
          <w:p>
            <w:pPr>
              <w:pStyle w:val="99"/>
              <w:rPr>
                <w:rFonts w:hint="default" w:ascii="Times New Roman" w:hAnsi="Times New Roman" w:eastAsia="宋体" w:cs="Times New Roman"/>
                <w:color w:val="auto"/>
                <w:lang w:val="en-US" w:eastAsia="zh-CN"/>
              </w:rPr>
            </w:pPr>
            <w:r>
              <w:rPr>
                <w:rFonts w:hint="eastAsia" w:ascii="Times New Roman" w:eastAsia="宋体" w:cs="Times New Roman"/>
                <w:color w:val="auto"/>
                <w:lang w:val="en-US" w:eastAsia="zh-CN"/>
              </w:rPr>
              <w:t>16.2</w:t>
            </w:r>
          </w:p>
        </w:tc>
        <w:tc>
          <w:tcPr>
            <w:tcW w:w="1855"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0.01</w:t>
            </w:r>
          </w:p>
        </w:tc>
        <w:tc>
          <w:tcPr>
            <w:tcW w:w="1856"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89.8</w:t>
            </w:r>
          </w:p>
        </w:tc>
        <w:tc>
          <w:tcPr>
            <w:tcW w:w="461"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满足</w:t>
            </w:r>
          </w:p>
        </w:tc>
        <w:tc>
          <w:tcPr>
            <w:tcW w:w="808"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120</w:t>
            </w:r>
          </w:p>
        </w:tc>
      </w:tr>
    </w:tbl>
    <w:p>
      <w:pPr>
        <w:ind w:firstLine="560"/>
        <w:rPr>
          <w:rFonts w:cs="仿宋"/>
          <w:color w:val="auto"/>
        </w:rPr>
      </w:pPr>
      <w:r>
        <w:rPr>
          <w:rFonts w:hint="eastAsia" w:cs="仿宋"/>
          <w:color w:val="auto"/>
        </w:rPr>
        <w:t>（</w:t>
      </w:r>
      <w:r>
        <w:rPr>
          <w:rFonts w:hint="eastAsia" w:cs="仿宋"/>
          <w:color w:val="auto"/>
          <w:lang w:val="en-US" w:eastAsia="zh-CN"/>
        </w:rPr>
        <w:t>4</w:t>
      </w:r>
      <w:r>
        <w:rPr>
          <w:rFonts w:hint="eastAsia" w:cs="仿宋"/>
          <w:color w:val="auto"/>
        </w:rPr>
        <w:t>）纵断面设计</w:t>
      </w:r>
    </w:p>
    <w:p>
      <w:pPr>
        <w:ind w:firstLine="818" w:firstLineChars="333"/>
        <w:rPr>
          <w:rFonts w:cs="仿宋"/>
          <w:color w:val="auto"/>
        </w:rPr>
      </w:pPr>
      <w:r>
        <w:rPr>
          <w:rFonts w:hint="eastAsia" w:cs="仿宋"/>
          <w:color w:val="auto"/>
        </w:rPr>
        <w:t>1）本工程雨水管线基本沿道路坡向敷设，坡度同道路坡度。</w:t>
      </w:r>
    </w:p>
    <w:p>
      <w:pPr>
        <w:ind w:firstLine="818" w:firstLineChars="333"/>
        <w:rPr>
          <w:rFonts w:cs="仿宋"/>
          <w:color w:val="auto"/>
        </w:rPr>
      </w:pPr>
      <w:r>
        <w:rPr>
          <w:rFonts w:hint="eastAsia" w:cs="仿宋"/>
          <w:color w:val="auto"/>
        </w:rPr>
        <w:t>2）雨水管最小坡度不小于0.005，最小流速不小于0.75m/s；最大坡度不大于0.05，最大流速不大于8m/s，按满流计算。</w:t>
      </w:r>
    </w:p>
    <w:p>
      <w:pPr>
        <w:ind w:firstLine="818" w:firstLineChars="333"/>
        <w:rPr>
          <w:color w:val="auto"/>
        </w:rPr>
      </w:pPr>
      <w:r>
        <w:rPr>
          <w:rFonts w:hint="eastAsia" w:cs="仿宋"/>
          <w:color w:val="auto"/>
        </w:rPr>
        <w:t>3）考虑到与其它管线的竖向交叉，管顶覆土按不低于</w:t>
      </w:r>
      <w:r>
        <w:rPr>
          <w:rFonts w:hint="eastAsia" w:cs="仿宋"/>
          <w:color w:val="auto"/>
          <w:lang w:val="en-US" w:eastAsia="zh-CN"/>
        </w:rPr>
        <w:t>2.0</w:t>
      </w:r>
      <w:r>
        <w:rPr>
          <w:rFonts w:hint="eastAsia" w:cs="仿宋"/>
          <w:color w:val="auto"/>
        </w:rPr>
        <w:t>m控制。</w:t>
      </w:r>
    </w:p>
    <w:p>
      <w:pPr>
        <w:pStyle w:val="95"/>
        <w:rPr>
          <w:color w:val="auto"/>
        </w:rPr>
      </w:pPr>
      <w:r>
        <w:rPr>
          <w:color w:val="auto"/>
        </w:rPr>
        <w:t>污水工程</w:t>
      </w:r>
    </w:p>
    <w:p>
      <w:pPr>
        <w:adjustRightInd w:val="0"/>
        <w:ind w:firstLine="492" w:firstLineChars="200"/>
        <w:rPr>
          <w:color w:val="auto"/>
        </w:rPr>
      </w:pPr>
      <w:r>
        <w:rPr>
          <w:rFonts w:hint="eastAsia"/>
          <w:color w:val="auto"/>
          <w:lang w:eastAsia="zh-CN"/>
        </w:rPr>
        <w:t>（</w:t>
      </w:r>
      <w:r>
        <w:rPr>
          <w:color w:val="auto"/>
        </w:rPr>
        <w:t>1）平面布置</w:t>
      </w:r>
    </w:p>
    <w:p>
      <w:pPr>
        <w:ind w:firstLine="560"/>
        <w:rPr>
          <w:rFonts w:cs="仿宋"/>
          <w:color w:val="auto"/>
        </w:rPr>
      </w:pPr>
      <w:r>
        <w:rPr>
          <w:rFonts w:hint="eastAsia" w:cs="仿宋"/>
          <w:color w:val="auto"/>
          <w:lang w:eastAsia="zh-CN"/>
        </w:rPr>
        <w:t>近期</w:t>
      </w:r>
      <w:r>
        <w:rPr>
          <w:rFonts w:hint="eastAsia" w:cs="仿宋"/>
          <w:color w:val="auto"/>
        </w:rPr>
        <w:t>沿</w:t>
      </w:r>
      <w:r>
        <w:rPr>
          <w:rFonts w:hint="eastAsia" w:cs="仿宋"/>
          <w:color w:val="auto"/>
          <w:lang w:eastAsia="zh-CN"/>
        </w:rPr>
        <w:t>车行道下</w:t>
      </w:r>
      <w:r>
        <w:rPr>
          <w:rFonts w:hint="eastAsia" w:cs="仿宋"/>
          <w:color w:val="auto"/>
        </w:rPr>
        <w:t>布置</w:t>
      </w:r>
      <w:r>
        <w:rPr>
          <w:rFonts w:hint="eastAsia" w:cs="仿宋"/>
          <w:color w:val="auto"/>
          <w:lang w:eastAsia="zh-CN"/>
        </w:rPr>
        <w:t>污</w:t>
      </w:r>
      <w:r>
        <w:rPr>
          <w:rFonts w:hint="eastAsia" w:cs="仿宋"/>
          <w:color w:val="auto"/>
        </w:rPr>
        <w:t>水管道，管径d400</w:t>
      </w:r>
      <w:r>
        <w:rPr>
          <w:rFonts w:hint="eastAsia" w:cs="仿宋"/>
          <w:color w:val="auto"/>
          <w:lang w:eastAsia="zh-CN"/>
        </w:rPr>
        <w:t>，距离路沿石</w:t>
      </w:r>
      <w:r>
        <w:rPr>
          <w:rFonts w:hint="eastAsia" w:cs="仿宋"/>
          <w:color w:val="auto"/>
          <w:lang w:val="en-US" w:eastAsia="zh-CN"/>
        </w:rPr>
        <w:t>1.0m，末端排入现状d400污水管道。</w:t>
      </w:r>
    </w:p>
    <w:p>
      <w:pPr>
        <w:ind w:firstLine="560"/>
        <w:rPr>
          <w:rFonts w:hint="eastAsia" w:ascii="Times New Roman" w:hAnsi="Times New Roman" w:cs="仿宋"/>
          <w:color w:val="auto"/>
        </w:rPr>
      </w:pPr>
      <w:r>
        <w:rPr>
          <w:rFonts w:hint="eastAsia" w:ascii="Times New Roman" w:hAnsi="Times New Roman" w:cs="仿宋"/>
          <w:color w:val="auto"/>
          <w:lang w:val="en-US" w:eastAsia="zh-CN"/>
        </w:rPr>
        <w:t>(</w:t>
      </w:r>
      <w:r>
        <w:rPr>
          <w:rFonts w:hint="eastAsia" w:cs="仿宋"/>
          <w:color w:val="auto"/>
          <w:lang w:val="en-US" w:eastAsia="zh-CN"/>
        </w:rPr>
        <w:t>2</w:t>
      </w:r>
      <w:r>
        <w:rPr>
          <w:rFonts w:hint="eastAsia" w:ascii="Times New Roman" w:hAnsi="Times New Roman" w:cs="仿宋"/>
          <w:color w:val="auto"/>
          <w:lang w:val="en-US" w:eastAsia="zh-CN"/>
        </w:rPr>
        <w:t>)</w:t>
      </w:r>
      <w:r>
        <w:rPr>
          <w:rFonts w:hint="eastAsia" w:ascii="Times New Roman" w:hAnsi="Times New Roman" w:cs="仿宋"/>
          <w:color w:val="auto"/>
        </w:rPr>
        <w:t>污水管道水力计算</w:t>
      </w:r>
    </w:p>
    <w:p>
      <w:pPr>
        <w:ind w:firstLine="543" w:firstLineChars="221"/>
        <w:contextualSpacing/>
        <w:rPr>
          <w:rFonts w:ascii="宋体" w:hAnsi="宋体"/>
          <w:b/>
          <w:color w:val="auto"/>
        </w:rPr>
      </w:pPr>
      <w:r>
        <w:rPr>
          <w:rFonts w:ascii="宋体" w:hAnsi="宋体"/>
          <w:color w:val="auto"/>
        </w:rPr>
        <w:t>1）旱季计算（非满流）</w:t>
      </w:r>
    </w:p>
    <w:tbl>
      <w:tblPr>
        <w:tblStyle w:val="24"/>
        <w:tblW w:w="96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2"/>
        <w:gridCol w:w="986"/>
        <w:gridCol w:w="1283"/>
        <w:gridCol w:w="1134"/>
        <w:gridCol w:w="1134"/>
        <w:gridCol w:w="1068"/>
        <w:gridCol w:w="1058"/>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82"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管段编号</w:t>
            </w:r>
          </w:p>
        </w:tc>
        <w:tc>
          <w:tcPr>
            <w:tcW w:w="986"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设计管径(mm)</w:t>
            </w:r>
          </w:p>
        </w:tc>
        <w:tc>
          <w:tcPr>
            <w:tcW w:w="1283"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设计坡度</w:t>
            </w:r>
          </w:p>
        </w:tc>
        <w:tc>
          <w:tcPr>
            <w:tcW w:w="1134"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旱季设计流量(l/s）</w:t>
            </w:r>
          </w:p>
        </w:tc>
        <w:tc>
          <w:tcPr>
            <w:tcW w:w="1134"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流速（m/s）</w:t>
            </w:r>
          </w:p>
        </w:tc>
        <w:tc>
          <w:tcPr>
            <w:tcW w:w="1068"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服务面积(hm2)</w:t>
            </w:r>
          </w:p>
        </w:tc>
        <w:tc>
          <w:tcPr>
            <w:tcW w:w="1058"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过流能力(l/s)</w:t>
            </w:r>
          </w:p>
        </w:tc>
        <w:tc>
          <w:tcPr>
            <w:tcW w:w="711"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充满度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82" w:type="dxa"/>
            <w:vAlign w:val="center"/>
          </w:tcPr>
          <w:p>
            <w:pPr>
              <w:pStyle w:val="99"/>
              <w:rPr>
                <w:rFonts w:hint="eastAsia" w:ascii="Times New Roman" w:hAnsi="Times New Roman" w:eastAsia="宋体" w:cs="Times New Roman"/>
                <w:color w:val="auto"/>
                <w:lang w:val="en-US"/>
              </w:rPr>
            </w:pPr>
            <w:r>
              <w:rPr>
                <w:rFonts w:hint="eastAsia" w:ascii="Times New Roman" w:eastAsia="宋体" w:cs="Times New Roman"/>
                <w:color w:val="auto"/>
                <w:lang w:val="en-US" w:eastAsia="zh-CN"/>
              </w:rPr>
              <w:t>W4-W5</w:t>
            </w:r>
          </w:p>
        </w:tc>
        <w:tc>
          <w:tcPr>
            <w:tcW w:w="986"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d400</w:t>
            </w:r>
          </w:p>
        </w:tc>
        <w:tc>
          <w:tcPr>
            <w:tcW w:w="1283" w:type="dxa"/>
            <w:vAlign w:val="center"/>
          </w:tcPr>
          <w:p>
            <w:pPr>
              <w:pStyle w:val="9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rPr>
              <w:t>0.0</w:t>
            </w:r>
            <w:r>
              <w:rPr>
                <w:rFonts w:hint="eastAsia" w:ascii="Times New Roman" w:eastAsia="宋体" w:cs="Times New Roman"/>
                <w:color w:val="auto"/>
                <w:lang w:val="en-US" w:eastAsia="zh-CN"/>
              </w:rPr>
              <w:t>17</w:t>
            </w:r>
          </w:p>
        </w:tc>
        <w:tc>
          <w:tcPr>
            <w:tcW w:w="1134"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3.6</w:t>
            </w:r>
          </w:p>
        </w:tc>
        <w:tc>
          <w:tcPr>
            <w:tcW w:w="1134"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0.89</w:t>
            </w:r>
          </w:p>
        </w:tc>
        <w:tc>
          <w:tcPr>
            <w:tcW w:w="1068" w:type="dxa"/>
            <w:vAlign w:val="center"/>
          </w:tcPr>
          <w:p>
            <w:pPr>
              <w:pStyle w:val="99"/>
              <w:rPr>
                <w:rFonts w:hint="eastAsia" w:ascii="Times New Roman" w:hAnsi="Times New Roman" w:eastAsia="宋体" w:cs="Times New Roman"/>
                <w:color w:val="auto"/>
                <w:lang w:val="en-US"/>
              </w:rPr>
            </w:pPr>
            <w:r>
              <w:rPr>
                <w:rFonts w:hint="eastAsia" w:ascii="Times New Roman" w:eastAsia="宋体" w:cs="Times New Roman"/>
                <w:color w:val="auto"/>
                <w:lang w:val="en-US" w:eastAsia="zh-CN"/>
              </w:rPr>
              <w:t>1.7</w:t>
            </w:r>
          </w:p>
        </w:tc>
        <w:tc>
          <w:tcPr>
            <w:tcW w:w="1058"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3.5</w:t>
            </w:r>
          </w:p>
        </w:tc>
        <w:tc>
          <w:tcPr>
            <w:tcW w:w="711" w:type="dxa"/>
            <w:vAlign w:val="center"/>
          </w:tcPr>
          <w:p>
            <w:pPr>
              <w:pStyle w:val="9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rPr>
              <w:t>0.</w:t>
            </w:r>
            <w:r>
              <w:rPr>
                <w:rFonts w:hint="eastAsia" w:ascii="Times New Roman" w:eastAsia="宋体" w:cs="Times New Roman"/>
                <w:color w:val="auto"/>
                <w:lang w:val="en-US" w:eastAsia="zh-CN"/>
              </w:rPr>
              <w:t>07</w:t>
            </w:r>
          </w:p>
        </w:tc>
      </w:tr>
    </w:tbl>
    <w:p>
      <w:pPr>
        <w:ind w:firstLine="543" w:firstLineChars="221"/>
        <w:contextualSpacing/>
        <w:rPr>
          <w:rFonts w:ascii="宋体" w:hAnsi="宋体"/>
          <w:color w:val="auto"/>
        </w:rPr>
      </w:pPr>
      <w:r>
        <w:rPr>
          <w:rFonts w:ascii="宋体" w:hAnsi="宋体"/>
          <w:color w:val="auto"/>
        </w:rPr>
        <w:t>2）雨季校核（满流）</w:t>
      </w:r>
    </w:p>
    <w:tbl>
      <w:tblPr>
        <w:tblStyle w:val="24"/>
        <w:tblW w:w="96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1019"/>
        <w:gridCol w:w="866"/>
        <w:gridCol w:w="893"/>
        <w:gridCol w:w="897"/>
        <w:gridCol w:w="1014"/>
        <w:gridCol w:w="1337"/>
        <w:gridCol w:w="1214"/>
        <w:gridCol w:w="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671"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管段编号</w:t>
            </w:r>
          </w:p>
        </w:tc>
        <w:tc>
          <w:tcPr>
            <w:tcW w:w="1019"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设计管径(mm)</w:t>
            </w:r>
          </w:p>
        </w:tc>
        <w:tc>
          <w:tcPr>
            <w:tcW w:w="866"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设计坡度</w:t>
            </w:r>
          </w:p>
        </w:tc>
        <w:tc>
          <w:tcPr>
            <w:tcW w:w="893"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服务面积(hm2)</w:t>
            </w:r>
          </w:p>
        </w:tc>
        <w:tc>
          <w:tcPr>
            <w:tcW w:w="897"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旱季设计流量(l/s）</w:t>
            </w:r>
          </w:p>
        </w:tc>
        <w:tc>
          <w:tcPr>
            <w:tcW w:w="1014"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截流雨水量（l/s）</w:t>
            </w:r>
          </w:p>
        </w:tc>
        <w:tc>
          <w:tcPr>
            <w:tcW w:w="1337"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总校核流量Q（l/s）</w:t>
            </w:r>
          </w:p>
        </w:tc>
        <w:tc>
          <w:tcPr>
            <w:tcW w:w="1214"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满流过流能力Qmax(l/s)</w:t>
            </w:r>
          </w:p>
        </w:tc>
        <w:tc>
          <w:tcPr>
            <w:tcW w:w="745"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流速（m/s）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71" w:type="dxa"/>
            <w:vAlign w:val="center"/>
          </w:tcPr>
          <w:p>
            <w:pPr>
              <w:pStyle w:val="99"/>
              <w:rPr>
                <w:rFonts w:hint="eastAsia" w:ascii="Times New Roman" w:hAnsi="Times New Roman" w:eastAsia="宋体" w:cs="Times New Roman"/>
                <w:color w:val="auto"/>
              </w:rPr>
            </w:pPr>
            <w:r>
              <w:rPr>
                <w:rFonts w:hint="eastAsia" w:ascii="Times New Roman" w:eastAsia="宋体" w:cs="Times New Roman"/>
                <w:color w:val="auto"/>
                <w:lang w:val="en-US" w:eastAsia="zh-CN"/>
              </w:rPr>
              <w:t>W4-W5</w:t>
            </w:r>
          </w:p>
        </w:tc>
        <w:tc>
          <w:tcPr>
            <w:tcW w:w="1019"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lang w:val="en-US" w:eastAsia="zh-CN"/>
              </w:rPr>
              <w:t>d400</w:t>
            </w:r>
          </w:p>
        </w:tc>
        <w:tc>
          <w:tcPr>
            <w:tcW w:w="866" w:type="dxa"/>
            <w:vAlign w:val="center"/>
          </w:tcPr>
          <w:p>
            <w:pPr>
              <w:pStyle w:val="99"/>
              <w:rPr>
                <w:rFonts w:hint="eastAsia" w:ascii="Times New Roman" w:hAnsi="Times New Roman" w:eastAsia="宋体" w:cs="Times New Roman"/>
                <w:color w:val="auto"/>
              </w:rPr>
            </w:pPr>
            <w:r>
              <w:rPr>
                <w:rFonts w:hint="eastAsia" w:ascii="Times New Roman" w:hAnsi="Times New Roman" w:eastAsia="宋体" w:cs="Times New Roman"/>
                <w:color w:val="auto"/>
              </w:rPr>
              <w:t>0.0</w:t>
            </w:r>
            <w:r>
              <w:rPr>
                <w:rFonts w:hint="eastAsia" w:ascii="Times New Roman" w:eastAsia="宋体" w:cs="Times New Roman"/>
                <w:color w:val="auto"/>
                <w:lang w:val="en-US" w:eastAsia="zh-CN"/>
              </w:rPr>
              <w:t>17</w:t>
            </w:r>
          </w:p>
        </w:tc>
        <w:tc>
          <w:tcPr>
            <w:tcW w:w="893" w:type="dxa"/>
            <w:vAlign w:val="center"/>
          </w:tcPr>
          <w:p>
            <w:pPr>
              <w:pStyle w:val="99"/>
              <w:rPr>
                <w:rFonts w:hint="eastAsia" w:ascii="Times New Roman" w:hAnsi="Times New Roman" w:eastAsia="宋体" w:cs="Times New Roman"/>
                <w:color w:val="auto"/>
                <w:lang w:val="en-US"/>
              </w:rPr>
            </w:pPr>
            <w:r>
              <w:rPr>
                <w:rFonts w:hint="eastAsia" w:ascii="Times New Roman" w:eastAsia="宋体" w:cs="Times New Roman"/>
                <w:color w:val="auto"/>
                <w:lang w:val="en-US" w:eastAsia="zh-CN"/>
              </w:rPr>
              <w:t>1.7</w:t>
            </w:r>
          </w:p>
        </w:tc>
        <w:tc>
          <w:tcPr>
            <w:tcW w:w="897" w:type="dxa"/>
            <w:vAlign w:val="center"/>
          </w:tcPr>
          <w:p>
            <w:pPr>
              <w:pStyle w:val="99"/>
              <w:rPr>
                <w:rFonts w:hint="eastAsia" w:ascii="Times New Roman" w:hAnsi="Times New Roman" w:eastAsia="宋体" w:cs="Times New Roman"/>
                <w:color w:val="auto"/>
                <w:lang w:val="en-US"/>
              </w:rPr>
            </w:pPr>
            <w:r>
              <w:rPr>
                <w:rFonts w:hint="eastAsia" w:ascii="Times New Roman" w:eastAsia="宋体" w:cs="Times New Roman"/>
                <w:color w:val="auto"/>
                <w:lang w:val="en-US" w:eastAsia="zh-CN"/>
              </w:rPr>
              <w:t>3.6</w:t>
            </w:r>
          </w:p>
        </w:tc>
        <w:tc>
          <w:tcPr>
            <w:tcW w:w="1014"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7.2</w:t>
            </w:r>
          </w:p>
        </w:tc>
        <w:tc>
          <w:tcPr>
            <w:tcW w:w="1337"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10.8</w:t>
            </w:r>
          </w:p>
        </w:tc>
        <w:tc>
          <w:tcPr>
            <w:tcW w:w="1214" w:type="dxa"/>
            <w:vAlign w:val="center"/>
          </w:tcPr>
          <w:p>
            <w:pPr>
              <w:pStyle w:val="99"/>
              <w:rPr>
                <w:rFonts w:hint="eastAsia" w:ascii="Times New Roman" w:hAnsi="Times New Roman" w:eastAsia="宋体" w:cs="Times New Roman"/>
                <w:color w:val="auto"/>
                <w:lang w:val="en-US"/>
              </w:rPr>
            </w:pPr>
            <w:r>
              <w:rPr>
                <w:rFonts w:hint="eastAsia" w:ascii="Times New Roman" w:eastAsia="宋体" w:cs="Times New Roman"/>
                <w:color w:val="auto"/>
                <w:lang w:val="en-US" w:eastAsia="zh-CN"/>
              </w:rPr>
              <w:t>352</w:t>
            </w:r>
          </w:p>
        </w:tc>
        <w:tc>
          <w:tcPr>
            <w:tcW w:w="745" w:type="dxa"/>
            <w:vAlign w:val="center"/>
          </w:tcPr>
          <w:p>
            <w:pPr>
              <w:pStyle w:val="99"/>
              <w:rPr>
                <w:rFonts w:hint="eastAsia" w:ascii="Times New Roman" w:hAnsi="Times New Roman" w:eastAsia="宋体" w:cs="Times New Roman"/>
                <w:color w:val="auto"/>
                <w:lang w:val="en-US" w:eastAsia="zh-CN"/>
              </w:rPr>
            </w:pPr>
            <w:r>
              <w:rPr>
                <w:rFonts w:hint="eastAsia" w:ascii="Times New Roman" w:eastAsia="宋体" w:cs="Times New Roman"/>
                <w:color w:val="auto"/>
                <w:lang w:val="en-US" w:eastAsia="zh-CN"/>
              </w:rPr>
              <w:t>2.81</w:t>
            </w:r>
          </w:p>
        </w:tc>
      </w:tr>
    </w:tbl>
    <w:p>
      <w:pPr>
        <w:ind w:firstLine="560"/>
        <w:rPr>
          <w:rFonts w:cs="仿宋"/>
          <w:color w:val="auto"/>
        </w:rPr>
      </w:pPr>
      <w:r>
        <w:rPr>
          <w:rFonts w:hint="eastAsia" w:cs="仿宋"/>
          <w:color w:val="auto"/>
        </w:rPr>
        <w:t>（</w:t>
      </w:r>
      <w:r>
        <w:rPr>
          <w:rFonts w:hint="eastAsia" w:cs="仿宋"/>
          <w:color w:val="auto"/>
          <w:lang w:val="en-US" w:eastAsia="zh-CN"/>
        </w:rPr>
        <w:t>4</w:t>
      </w:r>
      <w:r>
        <w:rPr>
          <w:rFonts w:hint="eastAsia" w:cs="仿宋"/>
          <w:color w:val="auto"/>
        </w:rPr>
        <w:t>）纵断面设计</w:t>
      </w:r>
    </w:p>
    <w:p>
      <w:pPr>
        <w:ind w:firstLine="560"/>
        <w:rPr>
          <w:rFonts w:cs="仿宋"/>
          <w:color w:val="auto"/>
        </w:rPr>
      </w:pPr>
      <w:r>
        <w:rPr>
          <w:rFonts w:hint="eastAsia" w:cs="仿宋"/>
          <w:color w:val="auto"/>
        </w:rPr>
        <w:t>1）本工程污水管线基本沿道路坡向敷设，坡度同道路坡度。</w:t>
      </w:r>
    </w:p>
    <w:p>
      <w:pPr>
        <w:ind w:firstLine="560"/>
        <w:rPr>
          <w:rFonts w:cs="仿宋"/>
          <w:color w:val="auto"/>
        </w:rPr>
      </w:pPr>
      <w:r>
        <w:rPr>
          <w:rFonts w:hint="eastAsia" w:cs="仿宋"/>
          <w:color w:val="auto"/>
        </w:rPr>
        <w:t>2）本次设计中污水管最小坡度不小于0.005，最小流速不小于0.6m/s；最大坡度不大于0.03，最大流速不大于6m/s，按非满流计算。</w:t>
      </w:r>
    </w:p>
    <w:p>
      <w:pPr>
        <w:ind w:firstLine="560"/>
        <w:rPr>
          <w:color w:val="auto"/>
        </w:rPr>
      </w:pPr>
      <w:r>
        <w:rPr>
          <w:rFonts w:hint="eastAsia" w:cs="仿宋"/>
          <w:color w:val="auto"/>
        </w:rPr>
        <w:t>3）考虑到与其它管线的竖向交叉，管顶覆土按不低于</w:t>
      </w:r>
      <w:r>
        <w:rPr>
          <w:rFonts w:hint="eastAsia" w:cs="仿宋"/>
          <w:color w:val="auto"/>
          <w:lang w:val="en-US" w:eastAsia="zh-CN"/>
        </w:rPr>
        <w:t>1.5</w:t>
      </w:r>
      <w:r>
        <w:rPr>
          <w:rFonts w:hint="eastAsia" w:cs="仿宋"/>
          <w:color w:val="auto"/>
        </w:rPr>
        <w:t>m控制。</w:t>
      </w:r>
    </w:p>
    <w:p>
      <w:pPr>
        <w:pStyle w:val="4"/>
        <w:spacing w:before="176"/>
        <w:rPr>
          <w:color w:val="auto"/>
        </w:rPr>
      </w:pPr>
      <w:r>
        <w:rPr>
          <w:rFonts w:hint="eastAsia"/>
          <w:color w:val="auto"/>
        </w:rPr>
        <w:t>排水</w:t>
      </w:r>
      <w:r>
        <w:rPr>
          <w:color w:val="auto"/>
        </w:rPr>
        <w:t>管材、基础及接口</w:t>
      </w:r>
    </w:p>
    <w:p>
      <w:pPr>
        <w:pStyle w:val="5"/>
        <w:rPr>
          <w:color w:val="auto"/>
        </w:rPr>
      </w:pPr>
      <w:r>
        <w:rPr>
          <w:color w:val="auto"/>
        </w:rPr>
        <w:t>管材</w:t>
      </w:r>
    </w:p>
    <w:p>
      <w:pPr>
        <w:pStyle w:val="86"/>
        <w:ind w:firstLine="493"/>
        <w:rPr>
          <w:color w:val="auto"/>
        </w:rPr>
      </w:pPr>
      <w:r>
        <w:rPr>
          <w:color w:val="auto"/>
        </w:rPr>
        <w:t>（1）管道断面形式</w:t>
      </w:r>
    </w:p>
    <w:p>
      <w:pPr>
        <w:pStyle w:val="86"/>
        <w:ind w:firstLine="493"/>
        <w:rPr>
          <w:color w:val="auto"/>
        </w:rPr>
      </w:pPr>
      <w:r>
        <w:rPr>
          <w:color w:val="auto"/>
        </w:rPr>
        <w:t>本工程的雨水管道均采用采用圆形断面。设计图中排水管道均以d表示其公称内径。</w:t>
      </w:r>
    </w:p>
    <w:p>
      <w:pPr>
        <w:pStyle w:val="86"/>
        <w:ind w:firstLine="493"/>
        <w:rPr>
          <w:color w:val="auto"/>
        </w:rPr>
      </w:pPr>
      <w:r>
        <w:rPr>
          <w:color w:val="auto"/>
        </w:rPr>
        <w:t>（2）管材</w:t>
      </w:r>
    </w:p>
    <w:p>
      <w:pPr>
        <w:pStyle w:val="86"/>
        <w:ind w:firstLine="493"/>
        <w:rPr>
          <w:color w:val="auto"/>
          <w:spacing w:val="-4"/>
        </w:rPr>
      </w:pPr>
      <w:r>
        <w:rPr>
          <w:color w:val="auto"/>
        </w:rPr>
        <w:t>本</w:t>
      </w:r>
      <w:r>
        <w:rPr>
          <w:rFonts w:hint="eastAsia"/>
          <w:color w:val="auto"/>
        </w:rPr>
        <w:t>次设计</w:t>
      </w:r>
      <w:r>
        <w:rPr>
          <w:color w:val="auto"/>
        </w:rPr>
        <w:t>对目前排水工程中可选用的不同的管材形式进行比较，以确定最经济和最符合实际情况的管材</w:t>
      </w:r>
      <w:r>
        <w:rPr>
          <w:rFonts w:hint="eastAsia"/>
          <w:color w:val="auto"/>
        </w:rPr>
        <w:t>，</w:t>
      </w:r>
      <w:r>
        <w:rPr>
          <w:color w:val="auto"/>
          <w:spacing w:val="-4"/>
        </w:rPr>
        <w:t>排水管材采用高密度聚乙烯（HDPE）热态缠绕结构壁B型管（克拉管）</w:t>
      </w:r>
      <w:r>
        <w:rPr>
          <w:rFonts w:hint="eastAsia"/>
          <w:color w:val="auto"/>
          <w:spacing w:val="-4"/>
        </w:rPr>
        <w:t>。</w:t>
      </w:r>
    </w:p>
    <w:p>
      <w:pPr>
        <w:pStyle w:val="86"/>
        <w:ind w:firstLine="477"/>
        <w:rPr>
          <w:color w:val="auto"/>
        </w:rPr>
      </w:pPr>
      <w:r>
        <w:rPr>
          <w:rFonts w:hint="eastAsia"/>
          <w:color w:val="auto"/>
          <w:spacing w:val="-4"/>
        </w:rPr>
        <w:t>管径d300的雨水口连接支管采用国标II级钢筋混凝土管。横穿道路排水管涵根据埋深采用国标Ⅲ级钢筋混凝土管或非标定制管。</w:t>
      </w:r>
    </w:p>
    <w:p>
      <w:pPr>
        <w:pStyle w:val="86"/>
        <w:ind w:firstLine="493"/>
        <w:rPr>
          <w:color w:val="auto"/>
          <w:spacing w:val="-4"/>
        </w:rPr>
      </w:pPr>
      <w:r>
        <w:rPr>
          <w:rStyle w:val="20"/>
          <w:rFonts w:hint="eastAsia"/>
          <w:color w:val="auto"/>
        </w:rPr>
        <w:t>高密度聚乙烯（HDPE）热态缠绕结构壁B型管（克拉管）环刚度不宜小于8KN/m</w:t>
      </w:r>
      <w:r>
        <w:rPr>
          <w:rStyle w:val="20"/>
          <w:rFonts w:hint="eastAsia"/>
          <w:color w:val="auto"/>
          <w:vertAlign w:val="superscript"/>
        </w:rPr>
        <w:t>2</w:t>
      </w:r>
      <w:r>
        <w:rPr>
          <w:rStyle w:val="20"/>
          <w:rFonts w:hint="eastAsia"/>
          <w:color w:val="auto"/>
        </w:rPr>
        <w:t>，管道埋深6m~8m时，环刚度应不小于10KN/m</w:t>
      </w:r>
      <w:r>
        <w:rPr>
          <w:rStyle w:val="20"/>
          <w:rFonts w:hint="eastAsia"/>
          <w:color w:val="auto"/>
          <w:vertAlign w:val="superscript"/>
        </w:rPr>
        <w:t>2</w:t>
      </w:r>
      <w:r>
        <w:rPr>
          <w:rStyle w:val="20"/>
          <w:rFonts w:hint="eastAsia"/>
          <w:color w:val="auto"/>
        </w:rPr>
        <w:t>；管道埋深8m~12m时，环刚度应不小于12.5KN/m</w:t>
      </w:r>
      <w:r>
        <w:rPr>
          <w:rStyle w:val="20"/>
          <w:rFonts w:hint="eastAsia"/>
          <w:color w:val="auto"/>
          <w:vertAlign w:val="superscript"/>
        </w:rPr>
        <w:t>2</w:t>
      </w:r>
      <w:r>
        <w:rPr>
          <w:rStyle w:val="20"/>
          <w:rFonts w:hint="eastAsia"/>
          <w:color w:val="auto"/>
        </w:rPr>
        <w:t>；管道埋深12m以上时，环刚度应不小于16KN/m</w:t>
      </w:r>
      <w:r>
        <w:rPr>
          <w:rStyle w:val="20"/>
          <w:rFonts w:hint="eastAsia"/>
          <w:color w:val="auto"/>
          <w:vertAlign w:val="superscript"/>
        </w:rPr>
        <w:t>2</w:t>
      </w:r>
      <w:r>
        <w:rPr>
          <w:rStyle w:val="20"/>
          <w:color w:val="auto"/>
        </w:rPr>
        <w:t>。</w:t>
      </w:r>
      <w:r>
        <w:rPr>
          <w:color w:val="auto"/>
          <w:spacing w:val="-4"/>
        </w:rPr>
        <w:t>高密度聚乙烯（HDPE）热态缠绕结构壁B型管（克拉管）的制造及安装应符合《埋地塑料排水管道工程技术规</w:t>
      </w:r>
      <w:r>
        <w:rPr>
          <w:color w:val="auto"/>
          <w:spacing w:val="-4"/>
        </w:rPr>
        <w:t>范》</w:t>
      </w:r>
      <w:r>
        <w:rPr>
          <w:rFonts w:hint="eastAsia"/>
          <w:color w:val="auto"/>
          <w:spacing w:val="-4"/>
        </w:rPr>
        <w:t>（</w:t>
      </w:r>
      <w:r>
        <w:rPr>
          <w:color w:val="auto"/>
          <w:spacing w:val="-4"/>
        </w:rPr>
        <w:t>CJJ</w:t>
      </w:r>
      <w:r>
        <w:rPr>
          <w:rFonts w:hint="eastAsia"/>
          <w:color w:val="auto"/>
          <w:spacing w:val="-4"/>
        </w:rPr>
        <w:t xml:space="preserve"> </w:t>
      </w:r>
      <w:r>
        <w:rPr>
          <w:color w:val="auto"/>
          <w:spacing w:val="-4"/>
        </w:rPr>
        <w:t>143-2010</w:t>
      </w:r>
      <w:r>
        <w:rPr>
          <w:rFonts w:hint="eastAsia"/>
          <w:color w:val="auto"/>
          <w:spacing w:val="-4"/>
        </w:rPr>
        <w:t>）</w:t>
      </w:r>
      <w:r>
        <w:rPr>
          <w:color w:val="auto"/>
          <w:spacing w:val="-4"/>
        </w:rPr>
        <w:t>要求及各企业的产品标准及安装操作手册。</w:t>
      </w:r>
    </w:p>
    <w:p>
      <w:pPr>
        <w:pStyle w:val="86"/>
        <w:ind w:firstLine="477"/>
        <w:rPr>
          <w:color w:val="auto"/>
          <w:spacing w:val="-4"/>
        </w:rPr>
      </w:pPr>
      <w:r>
        <w:rPr>
          <w:color w:val="auto"/>
          <w:spacing w:val="-4"/>
        </w:rPr>
        <w:t>钢筋砼管执行</w:t>
      </w:r>
      <w:r>
        <w:rPr>
          <w:color w:val="auto"/>
          <w:spacing w:val="-4"/>
        </w:rPr>
        <w:t>《混凝土和钢筋混凝土排水管》</w:t>
      </w:r>
      <w:r>
        <w:rPr>
          <w:rFonts w:hint="eastAsia"/>
          <w:color w:val="auto"/>
          <w:spacing w:val="-4"/>
        </w:rPr>
        <w:t>（</w:t>
      </w:r>
      <w:r>
        <w:rPr>
          <w:color w:val="auto"/>
          <w:spacing w:val="-4"/>
        </w:rPr>
        <w:t>GB</w:t>
      </w:r>
      <w:r>
        <w:rPr>
          <w:rFonts w:hint="eastAsia"/>
          <w:color w:val="auto"/>
          <w:spacing w:val="-4"/>
        </w:rPr>
        <w:t>/</w:t>
      </w:r>
      <w:r>
        <w:rPr>
          <w:color w:val="auto"/>
          <w:spacing w:val="-4"/>
        </w:rPr>
        <w:t>T</w:t>
      </w:r>
      <w:r>
        <w:rPr>
          <w:rFonts w:hint="eastAsia"/>
          <w:color w:val="auto"/>
          <w:spacing w:val="-4"/>
        </w:rPr>
        <w:t xml:space="preserve"> </w:t>
      </w:r>
      <w:r>
        <w:rPr>
          <w:color w:val="auto"/>
          <w:spacing w:val="-4"/>
        </w:rPr>
        <w:t>11836-20</w:t>
      </w:r>
      <w:r>
        <w:rPr>
          <w:rFonts w:hint="eastAsia"/>
          <w:color w:val="auto"/>
          <w:spacing w:val="-4"/>
          <w:lang w:val="en-US" w:eastAsia="zh-CN"/>
        </w:rPr>
        <w:t>23</w:t>
      </w:r>
      <w:r>
        <w:rPr>
          <w:rFonts w:hint="eastAsia"/>
          <w:color w:val="auto"/>
          <w:spacing w:val="-4"/>
        </w:rPr>
        <w:t>）</w:t>
      </w:r>
      <w:r>
        <w:rPr>
          <w:color w:val="auto"/>
          <w:spacing w:val="-4"/>
        </w:rPr>
        <w:t>中的</w:t>
      </w:r>
      <w:r>
        <w:rPr>
          <w:rFonts w:hint="eastAsia"/>
          <w:color w:val="auto"/>
          <w:spacing w:val="-4"/>
        </w:rPr>
        <w:t>相关</w:t>
      </w:r>
      <w:r>
        <w:rPr>
          <w:color w:val="auto"/>
          <w:spacing w:val="-4"/>
        </w:rPr>
        <w:t>规定。</w:t>
      </w:r>
    </w:p>
    <w:p>
      <w:pPr>
        <w:pStyle w:val="86"/>
        <w:ind w:firstLine="477"/>
        <w:rPr>
          <w:color w:val="auto"/>
          <w:spacing w:val="-4"/>
          <w:szCs w:val="24"/>
        </w:rPr>
      </w:pPr>
      <w:r>
        <w:rPr>
          <w:rFonts w:hint="eastAsia"/>
          <w:color w:val="auto"/>
          <w:spacing w:val="-4"/>
        </w:rPr>
        <w:t>球墨铸铁管执行《水及燃气管道用球墨铸铁管、管件和附件》（GB/T 13295-20</w:t>
      </w:r>
      <w:r>
        <w:rPr>
          <w:rFonts w:hint="eastAsia"/>
          <w:color w:val="auto"/>
          <w:spacing w:val="-4"/>
          <w:lang w:val="en-US" w:eastAsia="zh-CN"/>
        </w:rPr>
        <w:t>19</w:t>
      </w:r>
      <w:r>
        <w:rPr>
          <w:rFonts w:hint="eastAsia"/>
          <w:color w:val="auto"/>
          <w:spacing w:val="-4"/>
        </w:rPr>
        <w:t>）</w:t>
      </w:r>
      <w:r>
        <w:rPr>
          <w:color w:val="auto"/>
          <w:spacing w:val="-4"/>
        </w:rPr>
        <w:t>中的</w:t>
      </w:r>
      <w:r>
        <w:rPr>
          <w:rFonts w:hint="eastAsia"/>
          <w:color w:val="auto"/>
          <w:spacing w:val="-4"/>
        </w:rPr>
        <w:t>相关</w:t>
      </w:r>
      <w:r>
        <w:rPr>
          <w:color w:val="auto"/>
          <w:spacing w:val="-4"/>
        </w:rPr>
        <w:t>规定。</w:t>
      </w:r>
      <w:r>
        <w:rPr>
          <w:color w:val="auto"/>
        </w:rPr>
        <w:t>管道内壁可采用水泥砂浆防腐，在管道制造厂内完成。</w:t>
      </w:r>
    </w:p>
    <w:p>
      <w:pPr>
        <w:pStyle w:val="5"/>
        <w:rPr>
          <w:color w:val="auto"/>
        </w:rPr>
      </w:pPr>
      <w:r>
        <w:rPr>
          <w:color w:val="auto"/>
        </w:rPr>
        <w:t>管道基础</w:t>
      </w:r>
    </w:p>
    <w:p>
      <w:pPr>
        <w:ind w:firstLine="476" w:firstLineChars="200"/>
        <w:rPr>
          <w:bCs/>
          <w:color w:val="auto"/>
          <w:szCs w:val="24"/>
        </w:rPr>
      </w:pPr>
      <w:r>
        <w:rPr>
          <w:color w:val="auto"/>
          <w:spacing w:val="-4"/>
          <w:szCs w:val="24"/>
        </w:rPr>
        <w:t>高密度聚乙烯（HDPE）热态缠绕结构壁B型管（克拉管）</w:t>
      </w:r>
      <w:r>
        <w:rPr>
          <w:color w:val="auto"/>
          <w:szCs w:val="24"/>
        </w:rPr>
        <w:t>采用砂石垫层基础</w:t>
      </w:r>
      <w:r>
        <w:rPr>
          <w:rFonts w:hint="eastAsia"/>
          <w:color w:val="auto"/>
          <w:szCs w:val="24"/>
        </w:rPr>
        <w:t>。管道埋深≤3.5m时，采用120°砂石垫层基础；管道埋深＞3.5m时，采用180°砂石垫层基础；</w:t>
      </w:r>
      <w:r>
        <w:rPr>
          <w:bCs/>
          <w:color w:val="auto"/>
          <w:szCs w:val="24"/>
        </w:rPr>
        <w:t>覆土深度大于6.0m</w:t>
      </w:r>
      <w:r>
        <w:rPr>
          <w:rFonts w:hint="eastAsia"/>
          <w:bCs/>
          <w:color w:val="auto"/>
          <w:szCs w:val="24"/>
        </w:rPr>
        <w:t>时，</w:t>
      </w:r>
      <w:r>
        <w:rPr>
          <w:bCs/>
          <w:color w:val="auto"/>
          <w:szCs w:val="24"/>
        </w:rPr>
        <w:t>仍采用180°砂石垫层，但管顶以上2</w:t>
      </w:r>
      <w:r>
        <w:rPr>
          <w:rFonts w:hint="eastAsia"/>
          <w:bCs/>
          <w:color w:val="auto"/>
          <w:szCs w:val="24"/>
        </w:rPr>
        <w:t>.0</w:t>
      </w:r>
      <w:r>
        <w:rPr>
          <w:bCs/>
          <w:color w:val="auto"/>
          <w:szCs w:val="24"/>
        </w:rPr>
        <w:t>m内回填材料需采用同路基水稳层，做法详排水管道沟槽开挖断面图。</w:t>
      </w:r>
    </w:p>
    <w:p>
      <w:pPr>
        <w:ind w:firstLine="492" w:firstLineChars="200"/>
        <w:rPr>
          <w:rFonts w:hint="eastAsia" w:eastAsia="宋体"/>
          <w:color w:val="auto"/>
          <w:lang w:eastAsia="zh-CN"/>
        </w:rPr>
      </w:pPr>
      <w:r>
        <w:rPr>
          <w:rFonts w:hint="eastAsia"/>
          <w:color w:val="auto"/>
        </w:rPr>
        <w:t>管顶覆土深度在0.7～3.5m的</w:t>
      </w:r>
      <w:r>
        <w:rPr>
          <w:rFonts w:hint="eastAsia"/>
          <w:color w:val="auto"/>
        </w:rPr>
        <w:t>钢筋混凝土排水管道</w:t>
      </w:r>
      <w:r>
        <w:rPr>
          <w:rFonts w:hint="eastAsia"/>
          <w:color w:val="auto"/>
        </w:rPr>
        <w:t>采用120°混凝土基础，做法详06MS201/1-17；覆土深度在3.5～6.0m的</w:t>
      </w:r>
      <w:r>
        <w:rPr>
          <w:rFonts w:hint="eastAsia"/>
          <w:color w:val="auto"/>
        </w:rPr>
        <w:t>钢筋混凝土排水管道</w:t>
      </w:r>
      <w:r>
        <w:rPr>
          <w:rFonts w:hint="eastAsia"/>
          <w:color w:val="auto"/>
        </w:rPr>
        <w:t>采用180°混凝土基础，</w:t>
      </w:r>
      <w:r>
        <w:rPr>
          <w:rFonts w:hint="eastAsia"/>
          <w:color w:val="auto"/>
        </w:rPr>
        <w:t>做法详</w:t>
      </w:r>
      <w:r>
        <w:rPr>
          <w:rFonts w:hint="eastAsia"/>
          <w:color w:val="auto"/>
          <w:lang w:eastAsia="zh-CN"/>
        </w:rPr>
        <w:t>图集</w:t>
      </w:r>
      <w:r>
        <w:rPr>
          <w:rFonts w:hint="eastAsia"/>
          <w:color w:val="auto"/>
        </w:rPr>
        <w:t>23S516 混凝土排水管道基础及接口</w:t>
      </w:r>
      <w:r>
        <w:rPr>
          <w:rFonts w:hint="eastAsia"/>
          <w:color w:val="auto"/>
        </w:rPr>
        <w:t>；覆土深度大于6.0m或小于0.7m的钢筋混凝土排水管道采用360°满包混凝土加固，做法详排水管道沟槽开挖断面图。管基混凝土标号为C30。</w:t>
      </w:r>
      <w:r>
        <w:rPr>
          <w:rFonts w:hint="eastAsia"/>
          <w:color w:val="auto"/>
        </w:rPr>
        <w:t>管道加固要求对设有混凝土保护外壳结构的塑料排水管道，混凝土保护结构应承担全部外荷载，并应采取从检查井到检查井的全管段连续包封</w:t>
      </w:r>
      <w:r>
        <w:rPr>
          <w:rFonts w:hint="eastAsia"/>
          <w:color w:val="auto"/>
          <w:lang w:eastAsia="zh-CN"/>
        </w:rPr>
        <w:t>。</w:t>
      </w:r>
    </w:p>
    <w:p>
      <w:pPr>
        <w:ind w:firstLine="476" w:firstLineChars="200"/>
        <w:rPr>
          <w:color w:val="auto"/>
          <w:spacing w:val="-4"/>
          <w:szCs w:val="28"/>
        </w:rPr>
      </w:pPr>
      <w:r>
        <w:rPr>
          <w:rFonts w:hAnsi="宋体"/>
          <w:color w:val="auto"/>
          <w:spacing w:val="-4"/>
          <w:szCs w:val="28"/>
        </w:rPr>
        <w:t>管道埋深</w:t>
      </w:r>
      <w:r>
        <w:rPr>
          <w:color w:val="auto"/>
          <w:spacing w:val="-4"/>
          <w:szCs w:val="28"/>
        </w:rPr>
        <w:t>1.1-5.0m</w:t>
      </w:r>
      <w:r>
        <w:rPr>
          <w:rFonts w:hAnsi="宋体"/>
          <w:color w:val="auto"/>
          <w:spacing w:val="-4"/>
          <w:szCs w:val="28"/>
        </w:rPr>
        <w:t>，地基承载力不小于</w:t>
      </w:r>
      <w:r>
        <w:rPr>
          <w:color w:val="auto"/>
          <w:spacing w:val="-4"/>
          <w:szCs w:val="28"/>
        </w:rPr>
        <w:t>150KPa</w:t>
      </w:r>
      <w:r>
        <w:rPr>
          <w:rFonts w:hAnsi="宋体"/>
          <w:color w:val="auto"/>
          <w:spacing w:val="-4"/>
          <w:szCs w:val="28"/>
        </w:rPr>
        <w:t>；管道埋深</w:t>
      </w:r>
      <w:r>
        <w:rPr>
          <w:color w:val="auto"/>
          <w:spacing w:val="-4"/>
          <w:szCs w:val="28"/>
        </w:rPr>
        <w:t>5.0-8.0m</w:t>
      </w:r>
      <w:r>
        <w:rPr>
          <w:rFonts w:hAnsi="宋体"/>
          <w:color w:val="auto"/>
          <w:spacing w:val="-4"/>
          <w:szCs w:val="28"/>
        </w:rPr>
        <w:t>，地基承载力不小于</w:t>
      </w:r>
      <w:r>
        <w:rPr>
          <w:color w:val="auto"/>
          <w:spacing w:val="-4"/>
          <w:szCs w:val="28"/>
        </w:rPr>
        <w:t>200Kpa</w:t>
      </w:r>
      <w:r>
        <w:rPr>
          <w:rFonts w:hAnsi="宋体"/>
          <w:color w:val="auto"/>
          <w:spacing w:val="-4"/>
          <w:szCs w:val="28"/>
        </w:rPr>
        <w:t>；管道埋深</w:t>
      </w:r>
      <w:r>
        <w:rPr>
          <w:color w:val="auto"/>
          <w:spacing w:val="-4"/>
          <w:szCs w:val="28"/>
        </w:rPr>
        <w:t>8.0-10.0m</w:t>
      </w:r>
      <w:r>
        <w:rPr>
          <w:rFonts w:hAnsi="宋体"/>
          <w:color w:val="auto"/>
          <w:spacing w:val="-4"/>
          <w:szCs w:val="28"/>
        </w:rPr>
        <w:t>，地基承载力不小于</w:t>
      </w:r>
      <w:r>
        <w:rPr>
          <w:color w:val="auto"/>
          <w:spacing w:val="-4"/>
          <w:szCs w:val="28"/>
        </w:rPr>
        <w:t>250KPa</w:t>
      </w:r>
      <w:r>
        <w:rPr>
          <w:rFonts w:hAnsi="宋体"/>
          <w:color w:val="auto"/>
          <w:spacing w:val="-4"/>
          <w:szCs w:val="28"/>
        </w:rPr>
        <w:t>。以上承载力标准，要求管顶覆土均不小于</w:t>
      </w:r>
      <w:r>
        <w:rPr>
          <w:color w:val="auto"/>
          <w:spacing w:val="-4"/>
          <w:szCs w:val="28"/>
        </w:rPr>
        <w:t>0.7m</w:t>
      </w:r>
      <w:r>
        <w:rPr>
          <w:rFonts w:hAnsi="宋体"/>
          <w:color w:val="auto"/>
          <w:spacing w:val="-4"/>
          <w:szCs w:val="28"/>
        </w:rPr>
        <w:t>，且最小设计管径按</w:t>
      </w:r>
      <w:r>
        <w:rPr>
          <w:color w:val="auto"/>
          <w:spacing w:val="-4"/>
          <w:szCs w:val="28"/>
        </w:rPr>
        <w:t>d300</w:t>
      </w:r>
      <w:r>
        <w:rPr>
          <w:rFonts w:hAnsi="宋体"/>
          <w:color w:val="auto"/>
          <w:spacing w:val="-4"/>
          <w:szCs w:val="28"/>
        </w:rPr>
        <w:t>考虑。</w:t>
      </w:r>
    </w:p>
    <w:p>
      <w:pPr>
        <w:ind w:firstLine="492" w:firstLineChars="200"/>
        <w:rPr>
          <w:color w:val="auto"/>
          <w:szCs w:val="24"/>
        </w:rPr>
      </w:pPr>
      <w:r>
        <w:rPr>
          <w:color w:val="auto"/>
          <w:szCs w:val="24"/>
        </w:rPr>
        <w:t>雨、污水管道地基处理应满足道路工程的要求和管道基础对承载力的要求。管底填方高度不大于3</w:t>
      </w:r>
      <w:r>
        <w:rPr>
          <w:rFonts w:hint="eastAsia"/>
          <w:color w:val="auto"/>
          <w:szCs w:val="24"/>
        </w:rPr>
        <w:t>.0</w:t>
      </w:r>
      <w:r>
        <w:rPr>
          <w:color w:val="auto"/>
          <w:szCs w:val="24"/>
        </w:rPr>
        <w:t>m时，可按道路密实度要求回填到路基标高后，再开挖管槽施工管道。管底填方大于3</w:t>
      </w:r>
      <w:r>
        <w:rPr>
          <w:rFonts w:hint="eastAsia"/>
          <w:color w:val="auto"/>
          <w:szCs w:val="24"/>
        </w:rPr>
        <w:t>.0</w:t>
      </w:r>
      <w:r>
        <w:rPr>
          <w:color w:val="auto"/>
          <w:szCs w:val="24"/>
        </w:rPr>
        <w:t>m时，应按道路密实度要求回填至管顶以上1.5m后，再开挖管槽施工管道；且管道基槽应超挖0.5m，再回填0.5m厚的砂卵石或级配碎石，最后施工管道基础。管道施工回填压实后，再分层回填压实至设计路面高程。</w:t>
      </w:r>
    </w:p>
    <w:p>
      <w:pPr>
        <w:ind w:firstLine="492" w:firstLineChars="200"/>
        <w:rPr>
          <w:color w:val="auto"/>
          <w:szCs w:val="24"/>
        </w:rPr>
      </w:pPr>
      <w:r>
        <w:rPr>
          <w:color w:val="auto"/>
          <w:szCs w:val="24"/>
        </w:rPr>
        <w:t>当开挖沟槽基础为岩石时，槽底应超挖200mm，采用砂砾石回填至设计高程后，再施工管道基础。</w:t>
      </w:r>
    </w:p>
    <w:p>
      <w:pPr>
        <w:tabs>
          <w:tab w:val="left" w:pos="870"/>
        </w:tabs>
        <w:ind w:firstLine="476" w:firstLineChars="200"/>
        <w:rPr>
          <w:rFonts w:hint="eastAsia"/>
          <w:bCs/>
          <w:color w:val="auto"/>
          <w:spacing w:val="-4"/>
          <w:szCs w:val="24"/>
        </w:rPr>
      </w:pPr>
      <w:r>
        <w:rPr>
          <w:rFonts w:hint="eastAsia"/>
          <w:bCs/>
          <w:color w:val="auto"/>
          <w:spacing w:val="-4"/>
          <w:szCs w:val="24"/>
        </w:rPr>
        <w:t>塑料管道回填时应严格按照本设计及</w:t>
      </w:r>
      <w:r>
        <w:rPr>
          <w:color w:val="auto"/>
        </w:rPr>
        <w:t>《给水排水管道工程施工及验收规范》（GB</w:t>
      </w:r>
      <w:r>
        <w:rPr>
          <w:rFonts w:hint="eastAsia"/>
          <w:color w:val="auto"/>
        </w:rPr>
        <w:t xml:space="preserve"> </w:t>
      </w:r>
      <w:r>
        <w:rPr>
          <w:color w:val="auto"/>
        </w:rPr>
        <w:t>50268-2008）</w:t>
      </w:r>
      <w:r>
        <w:rPr>
          <w:rFonts w:hint="eastAsia"/>
          <w:color w:val="auto"/>
        </w:rPr>
        <w:t>中的</w:t>
      </w:r>
      <w:r>
        <w:rPr>
          <w:rFonts w:hint="eastAsia"/>
          <w:bCs/>
          <w:color w:val="auto"/>
          <w:spacing w:val="-4"/>
          <w:szCs w:val="24"/>
        </w:rPr>
        <w:t>回填材料和压实度</w:t>
      </w:r>
      <w:r>
        <w:rPr>
          <w:rFonts w:hint="eastAsia"/>
          <w:color w:val="auto"/>
        </w:rPr>
        <w:t>规定执行，</w:t>
      </w:r>
      <w:r>
        <w:rPr>
          <w:rFonts w:hint="eastAsia"/>
          <w:bCs/>
          <w:color w:val="auto"/>
          <w:spacing w:val="-4"/>
          <w:szCs w:val="24"/>
        </w:rPr>
        <w:t>施工时不得减小压实度。</w:t>
      </w:r>
    </w:p>
    <w:p>
      <w:pPr>
        <w:pStyle w:val="2"/>
        <w:ind w:firstLine="492" w:firstLineChars="200"/>
        <w:rPr>
          <w:rFonts w:hint="eastAsia" w:eastAsia="宋体"/>
          <w:color w:val="auto"/>
          <w:lang w:eastAsia="zh-CN"/>
        </w:rPr>
      </w:pPr>
      <w:r>
        <w:rPr>
          <w:rFonts w:hint="eastAsia"/>
          <w:color w:val="auto"/>
        </w:rPr>
        <w:t>软地基管道基础及和检查井连接要求，</w:t>
      </w:r>
      <w:r>
        <w:rPr>
          <w:rFonts w:hint="eastAsia"/>
          <w:color w:val="auto"/>
          <w:lang w:eastAsia="zh-CN"/>
        </w:rPr>
        <w:t>应满足</w:t>
      </w:r>
      <w:r>
        <w:rPr>
          <w:rFonts w:hint="eastAsia"/>
          <w:color w:val="auto"/>
        </w:rPr>
        <w:t xml:space="preserve">04S520-P60（图六）；DBJ50/T-292-2018 </w:t>
      </w:r>
      <w:r>
        <w:rPr>
          <w:rFonts w:hint="eastAsia"/>
          <w:color w:val="auto"/>
          <w:lang w:eastAsia="zh-CN"/>
        </w:rPr>
        <w:t>第</w:t>
      </w:r>
      <w:r>
        <w:rPr>
          <w:rFonts w:hint="eastAsia"/>
          <w:color w:val="auto"/>
        </w:rPr>
        <w:t>4.4.3</w:t>
      </w:r>
      <w:r>
        <w:rPr>
          <w:rFonts w:hint="eastAsia"/>
          <w:color w:val="auto"/>
          <w:lang w:eastAsia="zh-CN"/>
        </w:rPr>
        <w:t>条</w:t>
      </w:r>
    </w:p>
    <w:p>
      <w:pPr>
        <w:pStyle w:val="5"/>
        <w:rPr>
          <w:color w:val="auto"/>
        </w:rPr>
      </w:pPr>
      <w:r>
        <w:rPr>
          <w:color w:val="auto"/>
        </w:rPr>
        <w:t>地基处理</w:t>
      </w:r>
    </w:p>
    <w:p>
      <w:pPr>
        <w:pStyle w:val="86"/>
        <w:ind w:firstLine="493"/>
        <w:rPr>
          <w:rFonts w:hint="eastAsia" w:eastAsia="宋体"/>
          <w:color w:val="auto"/>
          <w:lang w:val="en-US" w:eastAsia="zh-CN"/>
        </w:rPr>
      </w:pPr>
      <w:r>
        <w:rPr>
          <w:color w:val="auto"/>
        </w:rPr>
        <w:t>管道地基应为未扰动的原状土或经处理后回填密实的地基，管道及构筑物地基承载力</w:t>
      </w:r>
      <w:r>
        <w:rPr>
          <w:rFonts w:hint="eastAsia"/>
          <w:color w:val="auto"/>
          <w:lang w:eastAsia="zh-CN"/>
        </w:rPr>
        <w:t>按施工注意事项</w:t>
      </w:r>
      <w:r>
        <w:rPr>
          <w:rFonts w:hint="eastAsia"/>
          <w:color w:val="auto"/>
          <w:lang w:val="en-US" w:eastAsia="zh-CN"/>
        </w:rPr>
        <w:t>12节进行确定</w:t>
      </w:r>
      <w:r>
        <w:rPr>
          <w:color w:val="auto"/>
        </w:rPr>
        <w:t>。若地基为膨胀土，管道、检查井基础下增铺15cm厚8%灰土垫层加强，再按国标图进行基础施工。沟槽在填方地段或沟槽超挖的，管道基础以下必须分层夯实回填，密实度不小于95%。</w:t>
      </w:r>
    </w:p>
    <w:p>
      <w:pPr>
        <w:pStyle w:val="86"/>
        <w:ind w:firstLine="493"/>
        <w:rPr>
          <w:color w:val="auto"/>
        </w:rPr>
      </w:pPr>
      <w:r>
        <w:rPr>
          <w:color w:val="auto"/>
        </w:rPr>
        <w:t>对于地质条件较差地段，如淤泥、杂填土等，必须进行换填。具体采用材料及换填深由不同的地质情况确定</w:t>
      </w:r>
      <w:r>
        <w:rPr>
          <w:rFonts w:hint="eastAsia"/>
          <w:color w:val="auto"/>
          <w:lang w:val="en-US" w:eastAsia="zh-CN"/>
        </w:rPr>
        <w:t>，同道路路基换填</w:t>
      </w:r>
      <w:r>
        <w:rPr>
          <w:color w:val="auto"/>
        </w:rPr>
        <w:t>。</w:t>
      </w:r>
    </w:p>
    <w:p>
      <w:pPr>
        <w:pStyle w:val="5"/>
        <w:rPr>
          <w:color w:val="auto"/>
        </w:rPr>
      </w:pPr>
      <w:r>
        <w:rPr>
          <w:color w:val="auto"/>
        </w:rPr>
        <w:t>管道接口</w:t>
      </w:r>
    </w:p>
    <w:p>
      <w:pPr>
        <w:ind w:firstLine="492" w:firstLineChars="200"/>
        <w:rPr>
          <w:color w:val="auto"/>
          <w:szCs w:val="24"/>
        </w:rPr>
      </w:pPr>
      <w:r>
        <w:rPr>
          <w:color w:val="auto"/>
          <w:szCs w:val="24"/>
        </w:rPr>
        <w:t>1）</w:t>
      </w:r>
      <w:r>
        <w:rPr>
          <w:rStyle w:val="20"/>
          <w:color w:val="auto"/>
        </w:rPr>
        <w:t>高密度聚乙烯（HDPE）热态缠绕结构壁B型管（克拉管）</w:t>
      </w:r>
      <w:r>
        <w:rPr>
          <w:rStyle w:val="20"/>
          <w:rFonts w:hint="eastAsia"/>
          <w:color w:val="auto"/>
        </w:rPr>
        <w:t>可</w:t>
      </w:r>
      <w:r>
        <w:rPr>
          <w:rStyle w:val="20"/>
          <w:color w:val="auto"/>
        </w:rPr>
        <w:t>根据技术要求采用L型承插电热熔双面连接</w:t>
      </w:r>
      <w:r>
        <w:rPr>
          <w:rStyle w:val="20"/>
          <w:rFonts w:hint="eastAsia"/>
          <w:color w:val="auto"/>
        </w:rPr>
        <w:t>或承插</w:t>
      </w:r>
      <w:r>
        <w:rPr>
          <w:rStyle w:val="20"/>
          <w:color w:val="auto"/>
        </w:rPr>
        <w:t>连接方式</w:t>
      </w:r>
      <w:r>
        <w:rPr>
          <w:color w:val="auto"/>
          <w:szCs w:val="24"/>
        </w:rPr>
        <w:t>。</w:t>
      </w:r>
      <w:r>
        <w:rPr>
          <w:rFonts w:hint="eastAsia"/>
          <w:color w:val="auto"/>
          <w:szCs w:val="24"/>
        </w:rPr>
        <w:t>上述</w:t>
      </w:r>
      <w:r>
        <w:rPr>
          <w:color w:val="auto"/>
          <w:szCs w:val="24"/>
        </w:rPr>
        <w:t>有关</w:t>
      </w:r>
      <w:r>
        <w:rPr>
          <w:rFonts w:hint="eastAsia"/>
          <w:color w:val="auto"/>
          <w:szCs w:val="24"/>
        </w:rPr>
        <w:t>管道</w:t>
      </w:r>
      <w:r>
        <w:rPr>
          <w:color w:val="auto"/>
          <w:szCs w:val="24"/>
        </w:rPr>
        <w:t>接口具体</w:t>
      </w:r>
      <w:r>
        <w:rPr>
          <w:bCs/>
          <w:color w:val="auto"/>
          <w:szCs w:val="24"/>
        </w:rPr>
        <w:t>做法</w:t>
      </w:r>
      <w:r>
        <w:rPr>
          <w:rFonts w:hint="eastAsia"/>
          <w:bCs/>
          <w:color w:val="auto"/>
          <w:szCs w:val="24"/>
        </w:rPr>
        <w:t>详见</w:t>
      </w:r>
      <w:r>
        <w:rPr>
          <w:bCs/>
          <w:color w:val="auto"/>
          <w:szCs w:val="24"/>
        </w:rPr>
        <w:t>06MS201-1/23</w:t>
      </w:r>
      <w:r>
        <w:rPr>
          <w:color w:val="auto"/>
          <w:szCs w:val="24"/>
        </w:rPr>
        <w:t>、06MS201/1-28、29。</w:t>
      </w:r>
    </w:p>
    <w:p>
      <w:pPr>
        <w:spacing w:line="360" w:lineRule="auto"/>
        <w:ind w:firstLine="615" w:firstLineChars="250"/>
        <w:rPr>
          <w:rFonts w:hint="eastAsia" w:ascii="Times New Roman" w:hAnsi="Times New Roman" w:cs="Times New Roman" w:eastAsiaTheme="minorEastAsia"/>
          <w:b w:val="0"/>
          <w:bCs/>
          <w:color w:val="auto"/>
          <w:sz w:val="24"/>
          <w:szCs w:val="24"/>
          <w:lang w:eastAsia="zh-CN"/>
        </w:rPr>
      </w:pPr>
      <w:r>
        <w:rPr>
          <w:color w:val="auto"/>
          <w:szCs w:val="24"/>
        </w:rPr>
        <w:t>2）管道上覆土高度突变对管道上作用的荷载变化较大的部位；地基土质变化，地基支承强度改变较大的部位以及管道与管道交叉处的</w:t>
      </w:r>
      <w:r>
        <w:rPr>
          <w:rFonts w:hint="eastAsia"/>
          <w:color w:val="auto"/>
          <w:szCs w:val="24"/>
        </w:rPr>
        <w:t>雨水口连接</w:t>
      </w:r>
      <w:r>
        <w:rPr>
          <w:color w:val="auto"/>
          <w:szCs w:val="24"/>
        </w:rPr>
        <w:t>管均采用柔性接口</w:t>
      </w:r>
      <w:r>
        <w:rPr>
          <w:rFonts w:hint="eastAsia"/>
          <w:color w:val="auto"/>
          <w:szCs w:val="24"/>
          <w:lang w:eastAsia="zh-CN"/>
        </w:rPr>
        <w:t>，</w:t>
      </w:r>
      <w:r>
        <w:rPr>
          <w:rFonts w:hint="eastAsia"/>
          <w:color w:val="auto"/>
          <w:szCs w:val="24"/>
          <w:lang w:eastAsia="zh-CN"/>
        </w:rPr>
        <w:t>雨水口连接管采用承插接口连接；</w:t>
      </w:r>
      <w:r>
        <w:rPr>
          <w:rFonts w:hint="default" w:ascii="Times New Roman" w:hAnsi="Times New Roman" w:cs="Times New Roman" w:eastAsiaTheme="minorEastAsia"/>
          <w:b w:val="0"/>
          <w:bCs/>
          <w:color w:val="auto"/>
          <w:sz w:val="24"/>
          <w:szCs w:val="24"/>
        </w:rPr>
        <w:t>钢筋混凝土管道接口采用</w:t>
      </w:r>
      <w:r>
        <w:rPr>
          <w:rFonts w:hint="eastAsia" w:cs="Times New Roman" w:eastAsiaTheme="minorEastAsia"/>
          <w:b w:val="0"/>
          <w:bCs/>
          <w:color w:val="auto"/>
          <w:sz w:val="24"/>
          <w:szCs w:val="24"/>
          <w:lang w:eastAsia="zh-CN"/>
        </w:rPr>
        <w:t>橡胶圈承插接口</w:t>
      </w:r>
      <w:r>
        <w:rPr>
          <w:rFonts w:hint="default" w:ascii="Times New Roman" w:hAnsi="Times New Roman" w:cs="Times New Roman" w:eastAsiaTheme="minorEastAsia"/>
          <w:b w:val="0"/>
          <w:bCs/>
          <w:color w:val="auto"/>
          <w:sz w:val="24"/>
          <w:szCs w:val="24"/>
        </w:rPr>
        <w:t>。做法详06MS201-1第</w:t>
      </w:r>
      <w:r>
        <w:rPr>
          <w:rFonts w:hint="eastAsia" w:cs="Times New Roman" w:eastAsiaTheme="minorEastAsia"/>
          <w:b w:val="0"/>
          <w:bCs/>
          <w:color w:val="auto"/>
          <w:sz w:val="24"/>
          <w:szCs w:val="24"/>
          <w:lang w:val="en-US" w:eastAsia="zh-CN"/>
        </w:rPr>
        <w:t>23</w:t>
      </w:r>
      <w:r>
        <w:rPr>
          <w:rFonts w:hint="default" w:ascii="Times New Roman" w:hAnsi="Times New Roman" w:cs="Times New Roman" w:eastAsiaTheme="minorEastAsia"/>
          <w:b w:val="0"/>
          <w:bCs/>
          <w:color w:val="auto"/>
          <w:sz w:val="24"/>
          <w:szCs w:val="24"/>
        </w:rPr>
        <w:t>页。雨水口连接管采用橡胶圈承插接口和满包基础，需在接口应用变形缝分离</w:t>
      </w:r>
      <w:r>
        <w:rPr>
          <w:rFonts w:hint="eastAsia" w:ascii="Times New Roman" w:hAnsi="Times New Roman" w:cs="Times New Roman" w:eastAsiaTheme="minorEastAsia"/>
          <w:b w:val="0"/>
          <w:bCs/>
          <w:color w:val="auto"/>
          <w:sz w:val="24"/>
          <w:szCs w:val="24"/>
          <w:lang w:eastAsia="zh-CN"/>
        </w:rPr>
        <w:t>。</w:t>
      </w:r>
    </w:p>
    <w:p>
      <w:pPr>
        <w:ind w:firstLine="492" w:firstLineChars="200"/>
        <w:rPr>
          <w:color w:val="auto"/>
          <w:szCs w:val="24"/>
        </w:rPr>
      </w:pPr>
      <w:r>
        <w:rPr>
          <w:color w:val="auto"/>
          <w:szCs w:val="24"/>
        </w:rPr>
        <w:t>3）管道承口应放在进水方向，插口放在出水方向，与检查井连接采用短管连接，管道与井壁间采用中介层，加水泥沙浆，中介层材料由厂家提供。管材连接所用管件、连接材料等均应由厂家配套提供现场指导施工。</w:t>
      </w:r>
    </w:p>
    <w:p>
      <w:pPr>
        <w:spacing w:line="360" w:lineRule="auto"/>
        <w:ind w:firstLine="492" w:firstLineChars="200"/>
        <w:rPr>
          <w:color w:val="auto"/>
        </w:rPr>
      </w:pPr>
      <w:r>
        <w:rPr>
          <w:rFonts w:hint="default" w:ascii="Times New Roman" w:hAnsi="Times New Roman" w:cs="Times New Roman" w:eastAsiaTheme="minorEastAsia"/>
          <w:color w:val="auto"/>
          <w:sz w:val="24"/>
          <w:szCs w:val="24"/>
          <w:lang w:eastAsia="zh-CN"/>
        </w:rPr>
        <w:t>塑料排水管与检查井连接时，应在井壁预埋短管，做法详</w:t>
      </w:r>
      <w:r>
        <w:rPr>
          <w:rFonts w:hint="default" w:ascii="Times New Roman" w:hAnsi="Times New Roman" w:cs="Times New Roman" w:eastAsiaTheme="minorEastAsia"/>
          <w:color w:val="auto"/>
          <w:sz w:val="24"/>
          <w:szCs w:val="24"/>
          <w:lang w:val="en-US" w:eastAsia="zh-CN"/>
        </w:rPr>
        <w:t>04S520、59、60第五种连接方式，并且检查井基础与管道基础之间应设置过渡区段，过渡区长度不应小于1倍管径，且不宜小于1m。</w:t>
      </w:r>
    </w:p>
    <w:p>
      <w:pPr>
        <w:pStyle w:val="4"/>
        <w:spacing w:before="176"/>
        <w:rPr>
          <w:color w:val="auto"/>
        </w:rPr>
      </w:pPr>
      <w:bookmarkStart w:id="1" w:name="_Toc451291267"/>
      <w:bookmarkStart w:id="2" w:name="_Toc448441435"/>
      <w:r>
        <w:rPr>
          <w:rFonts w:hint="eastAsia"/>
          <w:color w:val="auto"/>
        </w:rPr>
        <w:t>排水</w:t>
      </w:r>
      <w:r>
        <w:rPr>
          <w:color w:val="auto"/>
        </w:rPr>
        <w:t>附属构筑物</w:t>
      </w:r>
      <w:bookmarkEnd w:id="1"/>
      <w:bookmarkEnd w:id="2"/>
    </w:p>
    <w:p>
      <w:pPr>
        <w:ind w:firstLine="492" w:firstLineChars="200"/>
        <w:rPr>
          <w:bCs/>
          <w:color w:val="auto"/>
        </w:rPr>
      </w:pPr>
      <w:r>
        <w:rPr>
          <w:bCs/>
          <w:color w:val="auto"/>
        </w:rPr>
        <w:t>（1）检查井</w:t>
      </w:r>
    </w:p>
    <w:p>
      <w:pPr>
        <w:ind w:firstLine="492" w:firstLineChars="200"/>
        <w:rPr>
          <w:color w:val="auto"/>
        </w:rPr>
      </w:pPr>
      <w:r>
        <w:rPr>
          <w:color w:val="auto"/>
        </w:rPr>
        <w:t>管道交汇处、转弯处、管径或坡度改变处、跌水处以及直线管段上每隔一定距离设置检查井。</w:t>
      </w:r>
    </w:p>
    <w:p>
      <w:pPr>
        <w:ind w:firstLine="560"/>
        <w:rPr>
          <w:color w:val="auto"/>
        </w:rPr>
      </w:pPr>
      <w:r>
        <w:rPr>
          <w:rFonts w:hint="eastAsia" w:cs="仿宋"/>
          <w:color w:val="auto"/>
        </w:rPr>
        <w:t>雨、污水检查井均采用现浇</w:t>
      </w:r>
      <w:r>
        <w:rPr>
          <w:rFonts w:hint="eastAsia" w:cs="仿宋"/>
          <w:color w:val="auto"/>
          <w:lang w:eastAsia="zh-CN"/>
        </w:rPr>
        <w:t>钢筋混凝土</w:t>
      </w:r>
      <w:r>
        <w:rPr>
          <w:rFonts w:hint="eastAsia" w:cs="仿宋"/>
          <w:color w:val="auto"/>
        </w:rPr>
        <w:t>混凝土检查井</w:t>
      </w:r>
      <w:r>
        <w:rPr>
          <w:rFonts w:hint="eastAsia" w:cs="仿宋"/>
          <w:color w:val="auto"/>
          <w:lang w:eastAsia="zh-CN"/>
        </w:rPr>
        <w:t>详见图集</w:t>
      </w:r>
      <w:r>
        <w:rPr>
          <w:rFonts w:hint="eastAsia" w:cs="仿宋"/>
          <w:color w:val="auto"/>
        </w:rPr>
        <w:t>渝22TS02/2-</w:t>
      </w:r>
      <w:r>
        <w:rPr>
          <w:rFonts w:hint="eastAsia" w:cs="仿宋"/>
          <w:color w:val="auto"/>
          <w:lang w:val="en-US" w:eastAsia="zh-CN"/>
        </w:rPr>
        <w:t>22~84</w:t>
      </w:r>
      <w:r>
        <w:rPr>
          <w:rFonts w:hint="eastAsia" w:cs="仿宋"/>
          <w:color w:val="auto"/>
        </w:rPr>
        <w:t>。（业主或项目有特殊要求时可考虑采用装配式检查井，参照图集渝18S01，但需考虑适用条件）</w:t>
      </w:r>
      <w:r>
        <w:rPr>
          <w:rFonts w:hint="eastAsia"/>
          <w:color w:val="auto"/>
        </w:rPr>
        <w:t>。</w:t>
      </w:r>
    </w:p>
    <w:p>
      <w:pPr>
        <w:ind w:firstLine="492" w:firstLineChars="200"/>
        <w:rPr>
          <w:color w:val="auto"/>
        </w:rPr>
      </w:pPr>
      <w:r>
        <w:rPr>
          <w:color w:val="auto"/>
        </w:rPr>
        <w:t>车行道采用</w:t>
      </w:r>
      <w:r>
        <w:rPr>
          <w:rFonts w:hint="eastAsia"/>
          <w:color w:val="auto"/>
        </w:rPr>
        <w:t>防盗球墨铸铁可调式防沉降井盖及盖座</w:t>
      </w:r>
      <w:r>
        <w:rPr>
          <w:color w:val="auto"/>
        </w:rPr>
        <w:t>，按承载能力，最低选用D400类型；人行道、绿地等采用</w:t>
      </w:r>
      <w:r>
        <w:rPr>
          <w:rFonts w:hint="eastAsia"/>
          <w:color w:val="auto"/>
        </w:rPr>
        <w:t>防盗球墨铸铁井盖及盖座，按承载能力，最低选用C250类型</w:t>
      </w:r>
      <w:r>
        <w:rPr>
          <w:color w:val="auto"/>
        </w:rPr>
        <w:t>。井盖采用五防（防响动、防沉降、防位移、防坠落及防盗）球墨铸铁井盖及井座，产品必须满足建设部行业标准《检查井盖》（GB/T 23858-2009）相关技术要求。位于路面上的井盖，宜于地面齐平；位于绿化带内的井盖，不应低于地面。排水检查井盖应设置排气泄水孔，排气泄水孔的设置不应降低检查井盖的承载能力。排气泄水孔可开槽或开洞，尺寸应符合下表要求：</w:t>
      </w:r>
    </w:p>
    <w:tbl>
      <w:tblPr>
        <w:tblStyle w:val="24"/>
        <w:tblW w:w="86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4"/>
        <w:gridCol w:w="3769"/>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744" w:type="dxa"/>
            <w:shd w:val="clear" w:color="auto" w:fill="auto"/>
            <w:vAlign w:val="center"/>
          </w:tcPr>
          <w:p>
            <w:pPr>
              <w:jc w:val="center"/>
              <w:rPr>
                <w:color w:val="auto"/>
                <w:sz w:val="22"/>
                <w:szCs w:val="24"/>
              </w:rPr>
            </w:pPr>
            <w:r>
              <w:rPr>
                <w:color w:val="auto"/>
                <w:sz w:val="22"/>
                <w:szCs w:val="24"/>
              </w:rPr>
              <w:t>井盖承载能力等级</w:t>
            </w:r>
          </w:p>
        </w:tc>
        <w:tc>
          <w:tcPr>
            <w:tcW w:w="3769" w:type="dxa"/>
            <w:shd w:val="clear" w:color="auto" w:fill="auto"/>
            <w:vAlign w:val="center"/>
          </w:tcPr>
          <w:p>
            <w:pPr>
              <w:jc w:val="center"/>
              <w:rPr>
                <w:color w:val="auto"/>
                <w:sz w:val="22"/>
                <w:szCs w:val="24"/>
              </w:rPr>
            </w:pPr>
            <w:r>
              <w:rPr>
                <w:color w:val="auto"/>
                <w:sz w:val="22"/>
                <w:szCs w:val="24"/>
              </w:rPr>
              <w:t>开槽</w:t>
            </w:r>
          </w:p>
        </w:tc>
        <w:tc>
          <w:tcPr>
            <w:tcW w:w="2177" w:type="dxa"/>
            <w:shd w:val="clear" w:color="auto" w:fill="auto"/>
            <w:vAlign w:val="center"/>
          </w:tcPr>
          <w:p>
            <w:pPr>
              <w:jc w:val="center"/>
              <w:rPr>
                <w:color w:val="auto"/>
                <w:sz w:val="22"/>
                <w:szCs w:val="24"/>
              </w:rPr>
            </w:pPr>
            <w:r>
              <w:rPr>
                <w:color w:val="auto"/>
                <w:sz w:val="22"/>
                <w:szCs w:val="24"/>
              </w:rPr>
              <w:t>开洞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744" w:type="dxa"/>
            <w:shd w:val="clear" w:color="auto" w:fill="auto"/>
            <w:vAlign w:val="center"/>
          </w:tcPr>
          <w:p>
            <w:pPr>
              <w:jc w:val="center"/>
              <w:rPr>
                <w:color w:val="auto"/>
                <w:sz w:val="22"/>
                <w:szCs w:val="24"/>
              </w:rPr>
            </w:pPr>
            <w:r>
              <w:rPr>
                <w:color w:val="auto"/>
                <w:sz w:val="22"/>
                <w:szCs w:val="24"/>
              </w:rPr>
              <w:t>A~B</w:t>
            </w:r>
          </w:p>
        </w:tc>
        <w:tc>
          <w:tcPr>
            <w:tcW w:w="3769" w:type="dxa"/>
            <w:shd w:val="clear" w:color="auto" w:fill="auto"/>
            <w:vAlign w:val="center"/>
          </w:tcPr>
          <w:p>
            <w:pPr>
              <w:jc w:val="center"/>
              <w:rPr>
                <w:color w:val="auto"/>
                <w:sz w:val="22"/>
                <w:szCs w:val="24"/>
              </w:rPr>
            </w:pPr>
            <w:r>
              <w:rPr>
                <w:color w:val="auto"/>
                <w:sz w:val="22"/>
                <w:szCs w:val="24"/>
              </w:rPr>
              <w:t>长度≤170mm，宽度20~30mm</w:t>
            </w:r>
          </w:p>
        </w:tc>
        <w:tc>
          <w:tcPr>
            <w:tcW w:w="2177" w:type="dxa"/>
            <w:shd w:val="clear" w:color="auto" w:fill="auto"/>
            <w:vAlign w:val="center"/>
          </w:tcPr>
          <w:p>
            <w:pPr>
              <w:jc w:val="center"/>
              <w:rPr>
                <w:color w:val="auto"/>
                <w:sz w:val="22"/>
                <w:szCs w:val="24"/>
              </w:rPr>
            </w:pPr>
            <w:r>
              <w:rPr>
                <w:color w:val="auto"/>
                <w:sz w:val="22"/>
                <w:szCs w:val="24"/>
              </w:rPr>
              <w:t>直径:20~40mm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744" w:type="dxa"/>
            <w:shd w:val="clear" w:color="auto" w:fill="auto"/>
            <w:vAlign w:val="center"/>
          </w:tcPr>
          <w:p>
            <w:pPr>
              <w:jc w:val="center"/>
              <w:rPr>
                <w:color w:val="auto"/>
                <w:sz w:val="22"/>
                <w:szCs w:val="24"/>
              </w:rPr>
            </w:pPr>
            <w:r>
              <w:rPr>
                <w:color w:val="auto"/>
                <w:sz w:val="22"/>
                <w:szCs w:val="24"/>
              </w:rPr>
              <w:t>C~F</w:t>
            </w:r>
          </w:p>
        </w:tc>
        <w:tc>
          <w:tcPr>
            <w:tcW w:w="3769" w:type="dxa"/>
            <w:shd w:val="clear" w:color="auto" w:fill="auto"/>
            <w:vAlign w:val="center"/>
          </w:tcPr>
          <w:p>
            <w:pPr>
              <w:jc w:val="center"/>
              <w:rPr>
                <w:color w:val="auto"/>
                <w:sz w:val="22"/>
                <w:szCs w:val="24"/>
              </w:rPr>
            </w:pPr>
            <w:r>
              <w:rPr>
                <w:color w:val="auto"/>
                <w:sz w:val="22"/>
                <w:szCs w:val="24"/>
              </w:rPr>
              <w:t>长度≤170mm，宽度20~35mm</w:t>
            </w:r>
          </w:p>
        </w:tc>
        <w:tc>
          <w:tcPr>
            <w:tcW w:w="2177" w:type="dxa"/>
            <w:shd w:val="clear" w:color="auto" w:fill="auto"/>
            <w:vAlign w:val="center"/>
          </w:tcPr>
          <w:p>
            <w:pPr>
              <w:jc w:val="center"/>
              <w:rPr>
                <w:color w:val="auto"/>
                <w:sz w:val="22"/>
                <w:szCs w:val="24"/>
              </w:rPr>
            </w:pPr>
            <w:r>
              <w:rPr>
                <w:color w:val="auto"/>
                <w:sz w:val="22"/>
                <w:szCs w:val="24"/>
              </w:rPr>
              <w:t>直径:30~40mm</w:t>
            </w:r>
          </w:p>
        </w:tc>
      </w:tr>
    </w:tbl>
    <w:p>
      <w:pPr>
        <w:pStyle w:val="86"/>
        <w:ind w:firstLine="493"/>
        <w:rPr>
          <w:rStyle w:val="20"/>
          <w:color w:val="auto"/>
        </w:rPr>
      </w:pPr>
      <w:r>
        <w:rPr>
          <w:color w:val="auto"/>
        </w:rPr>
        <w:t>当检查井在人行道下时，采用隐形井盖</w:t>
      </w:r>
      <w:r>
        <w:rPr>
          <w:i/>
          <w:iCs/>
          <w:color w:val="auto"/>
        </w:rPr>
        <w:t>，</w:t>
      </w:r>
      <w:r>
        <w:rPr>
          <w:rFonts w:hint="eastAsia"/>
          <w:iCs/>
          <w:color w:val="auto"/>
        </w:rPr>
        <w:t>隐形</w:t>
      </w:r>
      <w:r>
        <w:rPr>
          <w:iCs/>
          <w:color w:val="auto"/>
        </w:rPr>
        <w:t>井盖应设置</w:t>
      </w:r>
      <w:r>
        <w:rPr>
          <w:rFonts w:hint="eastAsia"/>
          <w:iCs/>
          <w:color w:val="auto"/>
        </w:rPr>
        <w:t>排气</w:t>
      </w:r>
      <w:r>
        <w:rPr>
          <w:iCs/>
          <w:color w:val="auto"/>
        </w:rPr>
        <w:t>泄水孔</w:t>
      </w:r>
      <w:r>
        <w:rPr>
          <w:color w:val="auto"/>
        </w:rPr>
        <w:t>。若后期井盖有其他景观要求，采购时</w:t>
      </w:r>
      <w:r>
        <w:rPr>
          <w:rFonts w:hint="eastAsia"/>
          <w:color w:val="auto"/>
        </w:rPr>
        <w:t>可</w:t>
      </w:r>
      <w:r>
        <w:rPr>
          <w:color w:val="auto"/>
        </w:rPr>
        <w:t>按建设单位要求执行</w:t>
      </w:r>
      <w:r>
        <w:rPr>
          <w:rFonts w:hint="eastAsia"/>
          <w:color w:val="auto"/>
        </w:rPr>
        <w:t>，但</w:t>
      </w:r>
      <w:r>
        <w:rPr>
          <w:color w:val="auto"/>
        </w:rPr>
        <w:t>应满足规范要求。</w:t>
      </w:r>
      <w:r>
        <w:rPr>
          <w:rStyle w:val="20"/>
          <w:rFonts w:hint="eastAsia"/>
          <w:color w:val="auto"/>
        </w:rPr>
        <w:t>检查井井盖包括隐形井盖，应有“雨水”“污水”“给水”“消防”等管道属性标识，不得盖错。</w:t>
      </w:r>
    </w:p>
    <w:p>
      <w:pPr>
        <w:pStyle w:val="86"/>
        <w:ind w:firstLine="493"/>
        <w:rPr>
          <w:color w:val="auto"/>
        </w:rPr>
      </w:pPr>
      <w:r>
        <w:rPr>
          <w:rFonts w:hint="eastAsia"/>
          <w:color w:val="auto"/>
        </w:rPr>
        <w:t>河道附近</w:t>
      </w:r>
      <w:r>
        <w:rPr>
          <w:color w:val="auto"/>
        </w:rPr>
        <w:t>井面高程</w:t>
      </w:r>
      <w:r>
        <w:rPr>
          <w:rFonts w:hint="eastAsia"/>
          <w:color w:val="auto"/>
        </w:rPr>
        <w:t>在</w:t>
      </w:r>
      <w:r>
        <w:rPr>
          <w:color w:val="auto"/>
        </w:rPr>
        <w:t>100年</w:t>
      </w:r>
      <w:r>
        <w:rPr>
          <w:rFonts w:hint="eastAsia"/>
          <w:color w:val="auto"/>
        </w:rPr>
        <w:t>洪水位上</w:t>
      </w:r>
      <w:r>
        <w:rPr>
          <w:color w:val="auto"/>
        </w:rPr>
        <w:t>2米以内的</w:t>
      </w:r>
      <w:r>
        <w:rPr>
          <w:rFonts w:hint="eastAsia"/>
          <w:color w:val="auto"/>
        </w:rPr>
        <w:t>排水</w:t>
      </w:r>
      <w:r>
        <w:rPr>
          <w:color w:val="auto"/>
        </w:rPr>
        <w:t>检查井采用压力井盖+普通井盖</w:t>
      </w:r>
      <w:r>
        <w:rPr>
          <w:rFonts w:hint="eastAsia"/>
          <w:color w:val="auto"/>
        </w:rPr>
        <w:t>双层井盖</w:t>
      </w:r>
      <w:r>
        <w:rPr>
          <w:color w:val="auto"/>
        </w:rPr>
        <w:t>。</w:t>
      </w:r>
    </w:p>
    <w:p>
      <w:pPr>
        <w:pStyle w:val="86"/>
        <w:ind w:firstLine="493"/>
        <w:rPr>
          <w:color w:val="auto"/>
        </w:rPr>
      </w:pPr>
      <w:r>
        <w:rPr>
          <w:color w:val="auto"/>
        </w:rPr>
        <w:t>为避免在检查井盖损坏或缺失时发生行人坠落检查井的事故，检查井需安装防坠落装置。防坠落装置应牢固可靠，具有一定的承重能力（≥</w:t>
      </w:r>
      <w:r>
        <w:rPr>
          <w:rFonts w:hint="eastAsia"/>
          <w:color w:val="auto"/>
        </w:rPr>
        <w:t>30</w:t>
      </w:r>
      <w:r>
        <w:rPr>
          <w:color w:val="auto"/>
        </w:rPr>
        <w:t>0kg），并具备较大的过水能力，避免暴雨期间雨水从井底涌出时被冲走。防坠落装置包括防坠落网、防坠落井箅等。井盖防坠落网由8个不锈钢膨胀螺栓固定，安装在井口下10~15cm处的井筒内壁，防坠落网材质可选用（聚乙烯塑料绳、高强工业丝、涤纶丝、维纶丝、锦纶丝等）高强度且防腐蚀的材料。</w:t>
      </w:r>
    </w:p>
    <w:p>
      <w:pPr>
        <w:pStyle w:val="86"/>
        <w:ind w:firstLine="493"/>
        <w:rPr>
          <w:color w:val="auto"/>
        </w:rPr>
      </w:pPr>
      <w:r>
        <w:rPr>
          <w:rFonts w:hint="eastAsia"/>
          <w:color w:val="auto"/>
        </w:rPr>
        <w:t>设计检查井</w:t>
      </w:r>
      <w:r>
        <w:rPr>
          <w:color w:val="auto"/>
        </w:rPr>
        <w:t>定位为管中心坐标</w:t>
      </w:r>
      <w:r>
        <w:rPr>
          <w:rFonts w:hint="eastAsia"/>
          <w:color w:val="auto"/>
        </w:rPr>
        <w:t>。管道</w:t>
      </w:r>
      <w:r>
        <w:rPr>
          <w:color w:val="auto"/>
        </w:rPr>
        <w:t>位于车行道时</w:t>
      </w:r>
      <w:r>
        <w:rPr>
          <w:rFonts w:hint="eastAsia"/>
          <w:color w:val="auto"/>
        </w:rPr>
        <w:t>，检查井上部</w:t>
      </w:r>
      <w:r>
        <w:rPr>
          <w:color w:val="auto"/>
        </w:rPr>
        <w:t>收口</w:t>
      </w:r>
      <w:r>
        <w:rPr>
          <w:rFonts w:hint="eastAsia"/>
          <w:color w:val="auto"/>
        </w:rPr>
        <w:t>后</w:t>
      </w:r>
      <w:r>
        <w:rPr>
          <w:color w:val="auto"/>
        </w:rPr>
        <w:t>井盖应位于人行道或绿化带内，必要时采用偏心井。</w:t>
      </w:r>
    </w:p>
    <w:p>
      <w:pPr>
        <w:pStyle w:val="86"/>
        <w:ind w:firstLine="493"/>
        <w:rPr>
          <w:bCs/>
          <w:color w:val="auto"/>
        </w:rPr>
      </w:pPr>
      <w:r>
        <w:rPr>
          <w:bCs/>
          <w:color w:val="auto"/>
        </w:rPr>
        <w:t>（2）跌水井</w:t>
      </w:r>
    </w:p>
    <w:p>
      <w:pPr>
        <w:pStyle w:val="86"/>
        <w:ind w:firstLine="493"/>
        <w:rPr>
          <w:color w:val="auto"/>
        </w:rPr>
      </w:pPr>
      <w:r>
        <w:rPr>
          <w:color w:val="auto"/>
        </w:rPr>
        <w:t>当跌落水头大于1.</w:t>
      </w:r>
      <w:r>
        <w:rPr>
          <w:rFonts w:hint="eastAsia"/>
          <w:color w:val="auto"/>
        </w:rPr>
        <w:t>0</w:t>
      </w:r>
      <w:r>
        <w:rPr>
          <w:color w:val="auto"/>
        </w:rPr>
        <w:t>m、管道穿越地下障碍物或管内计算流速超过最大设计流速需要采取跌水消能时，设置跌水井。跌水井采用C30钢筋混凝土现浇，井盖、井座、爬梯同一般检查井要求。具体做法详见</w:t>
      </w:r>
      <w:r>
        <w:rPr>
          <w:rFonts w:hint="eastAsia" w:cs="仿宋"/>
          <w:color w:val="auto"/>
          <w:lang w:eastAsia="zh-CN"/>
        </w:rPr>
        <w:t>图集</w:t>
      </w:r>
      <w:r>
        <w:rPr>
          <w:rFonts w:hint="eastAsia" w:cs="仿宋"/>
          <w:color w:val="auto"/>
        </w:rPr>
        <w:t>渝22TS02/</w:t>
      </w:r>
      <w:r>
        <w:rPr>
          <w:rFonts w:hint="eastAsia" w:cs="仿宋"/>
          <w:color w:val="auto"/>
          <w:lang w:val="en-US" w:eastAsia="zh-CN"/>
        </w:rPr>
        <w:t>3</w:t>
      </w:r>
      <w:r>
        <w:rPr>
          <w:rFonts w:hint="eastAsia" w:cs="仿宋"/>
          <w:color w:val="auto"/>
        </w:rPr>
        <w:t>-</w:t>
      </w:r>
      <w:r>
        <w:rPr>
          <w:rFonts w:hint="eastAsia" w:cs="仿宋"/>
          <w:color w:val="auto"/>
          <w:lang w:val="en-US" w:eastAsia="zh-CN"/>
        </w:rPr>
        <w:t>04~07</w:t>
      </w:r>
      <w:r>
        <w:rPr>
          <w:color w:val="auto"/>
        </w:rPr>
        <w:t>。</w:t>
      </w:r>
    </w:p>
    <w:p>
      <w:pPr>
        <w:pStyle w:val="86"/>
        <w:ind w:firstLine="493"/>
        <w:rPr>
          <w:bCs/>
          <w:color w:val="auto"/>
        </w:rPr>
      </w:pPr>
      <w:r>
        <w:rPr>
          <w:bCs/>
          <w:color w:val="auto"/>
        </w:rPr>
        <w:t>（3）沉砂井</w:t>
      </w:r>
    </w:p>
    <w:p>
      <w:pPr>
        <w:pStyle w:val="86"/>
        <w:ind w:firstLine="493"/>
        <w:rPr>
          <w:color w:val="auto"/>
        </w:rPr>
      </w:pPr>
      <w:r>
        <w:rPr>
          <w:color w:val="auto"/>
        </w:rPr>
        <w:t>在设计道路的挖方段，为排除截排水沟雨水；在设计道路的小填方段，由于道路设计标高与边坡处自然地面标高差过小，无法设计临时排水管排除雨天积水，需将漫流雨水收集进入道路雨水系统。为防止泥沙阻塞管道，需在上述位置设置沉砂井。沉砂井在实施时应调整至该段边沟最低点。雨季时应及时清通沉砂井格栅，防止堵塞。沉砂井做法详见本次设计</w:t>
      </w:r>
      <w:r>
        <w:rPr>
          <w:rFonts w:hint="eastAsia"/>
          <w:color w:val="auto"/>
        </w:rPr>
        <w:t>明沟接暗管检查井</w:t>
      </w:r>
      <w:r>
        <w:rPr>
          <w:color w:val="auto"/>
        </w:rPr>
        <w:t>大样图。</w:t>
      </w:r>
    </w:p>
    <w:p>
      <w:pPr>
        <w:pStyle w:val="86"/>
        <w:ind w:firstLine="493"/>
        <w:rPr>
          <w:bCs/>
          <w:color w:val="auto"/>
        </w:rPr>
      </w:pPr>
      <w:r>
        <w:rPr>
          <w:bCs/>
          <w:color w:val="auto"/>
        </w:rPr>
        <w:t>（4）雨水口</w:t>
      </w:r>
      <w:r>
        <w:rPr>
          <w:rFonts w:hint="eastAsia"/>
          <w:bCs/>
          <w:color w:val="auto"/>
        </w:rPr>
        <w:t>（箅）</w:t>
      </w:r>
    </w:p>
    <w:p>
      <w:pPr>
        <w:pStyle w:val="86"/>
        <w:ind w:firstLine="493"/>
        <w:rPr>
          <w:color w:val="auto"/>
        </w:rPr>
      </w:pPr>
      <w:r>
        <w:rPr>
          <w:color w:val="auto"/>
        </w:rPr>
        <w:t>采用混凝土现浇雨水口</w:t>
      </w:r>
      <w:r>
        <w:rPr>
          <w:rFonts w:hint="eastAsia"/>
          <w:color w:val="auto"/>
          <w:lang w:eastAsia="zh-CN"/>
        </w:rPr>
        <w:t>，详见图集</w:t>
      </w:r>
      <w:r>
        <w:rPr>
          <w:rFonts w:hint="eastAsia"/>
          <w:color w:val="auto"/>
        </w:rPr>
        <w:t>《渝22TS02 市政排水管道附属设施标准图集 DJBT50-159》</w:t>
      </w:r>
      <w:r>
        <w:rPr>
          <w:rFonts w:hint="eastAsia"/>
          <w:color w:val="auto"/>
          <w:lang w:eastAsia="zh-CN"/>
        </w:rPr>
        <w:t>第</w:t>
      </w:r>
      <w:r>
        <w:rPr>
          <w:rFonts w:hint="eastAsia"/>
          <w:color w:val="auto"/>
          <w:lang w:val="en-US" w:eastAsia="zh-CN"/>
        </w:rPr>
        <w:t>5-05双篦雨水口</w:t>
      </w:r>
      <w:r>
        <w:rPr>
          <w:rFonts w:hint="eastAsia"/>
          <w:color w:val="auto"/>
        </w:rPr>
        <w:t>。</w:t>
      </w:r>
      <w:r>
        <w:rPr>
          <w:color w:val="auto"/>
        </w:rPr>
        <w:t>采用</w:t>
      </w:r>
      <w:r>
        <w:rPr>
          <w:rFonts w:hint="eastAsia"/>
          <w:color w:val="auto"/>
          <w:lang w:eastAsia="zh-CN"/>
        </w:rPr>
        <w:t>五防</w:t>
      </w:r>
      <w:r>
        <w:rPr>
          <w:color w:val="auto"/>
        </w:rPr>
        <w:t>球墨铸铁雨水箅子，球墨铸铁QT500-7，窄型双箅雨水口（箅）泄水能力要求不应低于</w:t>
      </w:r>
      <w:r>
        <w:rPr>
          <w:rFonts w:hint="eastAsia"/>
          <w:color w:val="auto"/>
          <w:lang w:val="en-US" w:eastAsia="zh-CN"/>
        </w:rPr>
        <w:t>70</w:t>
      </w:r>
      <w:r>
        <w:rPr>
          <w:color w:val="auto"/>
        </w:rPr>
        <w:t>L/s，多箅雨水口（箅）泄水能力要求不低于8 L/s（每箅）。</w:t>
      </w:r>
    </w:p>
    <w:p>
      <w:pPr>
        <w:pStyle w:val="86"/>
        <w:ind w:firstLine="493"/>
        <w:rPr>
          <w:bCs/>
          <w:color w:val="auto"/>
          <w:szCs w:val="28"/>
        </w:rPr>
      </w:pPr>
      <w:r>
        <w:rPr>
          <w:rFonts w:hint="eastAsia"/>
          <w:bCs/>
          <w:color w:val="auto"/>
          <w:szCs w:val="28"/>
        </w:rPr>
        <w:t>若无特别注明，雨水口连接管为d300，以不小于0.01的坡度坡向雨水检查井。</w:t>
      </w:r>
    </w:p>
    <w:p>
      <w:pPr>
        <w:pStyle w:val="86"/>
        <w:ind w:firstLine="493"/>
        <w:rPr>
          <w:bCs/>
          <w:color w:val="auto"/>
          <w:szCs w:val="28"/>
        </w:rPr>
      </w:pPr>
      <w:r>
        <w:rPr>
          <w:rFonts w:hint="eastAsia"/>
          <w:bCs/>
          <w:color w:val="auto"/>
          <w:szCs w:val="28"/>
        </w:rPr>
        <w:t>在道路凹曲线段布置雨水口时必须设在最低处，施工中应根据实际情况合理调整，</w:t>
      </w:r>
    </w:p>
    <w:p>
      <w:pPr>
        <w:pStyle w:val="86"/>
        <w:ind w:firstLine="493"/>
        <w:rPr>
          <w:bCs/>
          <w:color w:val="auto"/>
          <w:szCs w:val="28"/>
        </w:rPr>
      </w:pPr>
      <w:r>
        <w:rPr>
          <w:bCs/>
          <w:color w:val="auto"/>
          <w:szCs w:val="28"/>
        </w:rPr>
        <w:t>以保证有效收水</w:t>
      </w:r>
      <w:r>
        <w:rPr>
          <w:rFonts w:hint="eastAsia"/>
          <w:bCs/>
          <w:color w:val="auto"/>
          <w:szCs w:val="28"/>
        </w:rPr>
        <w:t>；</w:t>
      </w:r>
      <w:r>
        <w:rPr>
          <w:bCs/>
          <w:color w:val="auto"/>
          <w:szCs w:val="28"/>
        </w:rPr>
        <w:t>雨水口标高比路面低</w:t>
      </w:r>
      <w:r>
        <w:rPr>
          <w:rFonts w:hint="eastAsia"/>
          <w:bCs/>
          <w:color w:val="auto"/>
          <w:szCs w:val="28"/>
          <w:lang w:val="en-US" w:eastAsia="zh-CN"/>
        </w:rPr>
        <w:t>3-</w:t>
      </w:r>
      <w:r>
        <w:rPr>
          <w:bCs/>
          <w:color w:val="auto"/>
          <w:szCs w:val="28"/>
        </w:rPr>
        <w:t>5</w:t>
      </w:r>
      <w:r>
        <w:rPr>
          <w:rFonts w:hint="eastAsia"/>
          <w:bCs/>
          <w:color w:val="auto"/>
          <w:szCs w:val="28"/>
        </w:rPr>
        <w:t>.0</w:t>
      </w:r>
      <w:r>
        <w:rPr>
          <w:bCs/>
          <w:color w:val="auto"/>
          <w:szCs w:val="28"/>
        </w:rPr>
        <w:t>cm</w:t>
      </w:r>
      <w:r>
        <w:rPr>
          <w:rFonts w:hint="eastAsia"/>
          <w:bCs/>
          <w:color w:val="auto"/>
          <w:szCs w:val="28"/>
        </w:rPr>
        <w:t>；雨水口</w:t>
      </w:r>
      <w:r>
        <w:rPr>
          <w:bCs/>
          <w:color w:val="auto"/>
          <w:szCs w:val="28"/>
        </w:rPr>
        <w:t>荷载标准为重型。</w:t>
      </w:r>
    </w:p>
    <w:p>
      <w:pPr>
        <w:pStyle w:val="86"/>
        <w:ind w:firstLine="493"/>
        <w:rPr>
          <w:bCs/>
          <w:color w:val="auto"/>
        </w:rPr>
      </w:pPr>
      <w:r>
        <w:rPr>
          <w:bCs/>
          <w:color w:val="auto"/>
        </w:rPr>
        <w:t>（5）进</w:t>
      </w:r>
      <w:r>
        <w:rPr>
          <w:rFonts w:hint="eastAsia"/>
          <w:bCs/>
          <w:color w:val="auto"/>
        </w:rPr>
        <w:t>、</w:t>
      </w:r>
      <w:r>
        <w:rPr>
          <w:bCs/>
          <w:color w:val="auto"/>
        </w:rPr>
        <w:t>出水口</w:t>
      </w:r>
    </w:p>
    <w:p>
      <w:pPr>
        <w:pStyle w:val="86"/>
        <w:ind w:firstLine="493"/>
        <w:rPr>
          <w:color w:val="auto"/>
        </w:rPr>
      </w:pPr>
      <w:r>
        <w:rPr>
          <w:bCs/>
          <w:color w:val="auto"/>
          <w:szCs w:val="28"/>
        </w:rPr>
        <w:t>道路雨水管道排出口采用八字式</w:t>
      </w:r>
      <w:r>
        <w:rPr>
          <w:rFonts w:hint="eastAsia"/>
          <w:bCs/>
          <w:color w:val="auto"/>
          <w:szCs w:val="28"/>
        </w:rPr>
        <w:t>进</w:t>
      </w:r>
      <w:r>
        <w:rPr>
          <w:bCs/>
          <w:color w:val="auto"/>
          <w:szCs w:val="28"/>
        </w:rPr>
        <w:t>出水口。八字式进出水口做法详见国标图集</w:t>
      </w:r>
      <w:r>
        <w:rPr>
          <w:rFonts w:hint="eastAsia"/>
          <w:bCs/>
          <w:color w:val="auto"/>
          <w:szCs w:val="28"/>
        </w:rPr>
        <w:t>20S517-7、8</w:t>
      </w:r>
      <w:r>
        <w:rPr>
          <w:bCs/>
          <w:color w:val="auto"/>
          <w:szCs w:val="28"/>
        </w:rPr>
        <w:t>页。</w:t>
      </w:r>
    </w:p>
    <w:p>
      <w:pPr>
        <w:pStyle w:val="4"/>
        <w:spacing w:before="176"/>
        <w:rPr>
          <w:color w:val="auto"/>
        </w:rPr>
      </w:pPr>
      <w:r>
        <w:rPr>
          <w:rFonts w:hint="eastAsia"/>
          <w:color w:val="auto"/>
        </w:rPr>
        <w:t>危险性较大的分部分项工程特别说明</w:t>
      </w:r>
    </w:p>
    <w:p>
      <w:pPr>
        <w:spacing w:line="360" w:lineRule="auto"/>
        <w:ind w:firstLine="560"/>
        <w:rPr>
          <w:rFonts w:hint="eastAsia"/>
          <w:color w:val="auto"/>
          <w:sz w:val="24"/>
        </w:rPr>
      </w:pPr>
      <w:r>
        <w:rPr>
          <w:rFonts w:hint="eastAsia"/>
          <w:b w:val="0"/>
          <w:bCs w:val="0"/>
          <w:color w:val="auto"/>
          <w:sz w:val="24"/>
        </w:rPr>
        <w:t>根据“渝建安发[2019]27号文”、建质规〔2022〕2号、建办质〔2018〕31号、住建部令第37号、建办质〔2021〕48号、“住房城乡建设部办公厅《关于实施《危险性较大的分部分项工程安全管理规定》有关问题的通知》（建办质[2018]31号）”</w:t>
      </w:r>
      <w:r>
        <w:rPr>
          <w:rFonts w:hint="eastAsia"/>
          <w:color w:val="auto"/>
          <w:sz w:val="24"/>
        </w:rPr>
        <w:t>等法律法规的规定，对本次设计范围内危险性较大的分部分项工程部位进行梳理，具体如下：</w:t>
      </w:r>
    </w:p>
    <w:tbl>
      <w:tblPr>
        <w:tblStyle w:val="24"/>
        <w:tblW w:w="9656" w:type="dxa"/>
        <w:jc w:val="center"/>
        <w:tblInd w:w="0" w:type="dxa"/>
        <w:tblLayout w:type="fixed"/>
        <w:tblCellMar>
          <w:top w:w="0" w:type="dxa"/>
          <w:left w:w="108" w:type="dxa"/>
          <w:bottom w:w="0" w:type="dxa"/>
          <w:right w:w="108" w:type="dxa"/>
        </w:tblCellMar>
      </w:tblPr>
      <w:tblGrid>
        <w:gridCol w:w="1190"/>
        <w:gridCol w:w="2557"/>
        <w:gridCol w:w="4676"/>
        <w:gridCol w:w="1233"/>
      </w:tblGrid>
      <w:tr>
        <w:tblPrEx>
          <w:tblLayout w:type="fixed"/>
          <w:tblCellMar>
            <w:top w:w="0" w:type="dxa"/>
            <w:left w:w="108" w:type="dxa"/>
            <w:bottom w:w="0" w:type="dxa"/>
            <w:right w:w="108" w:type="dxa"/>
          </w:tblCellMar>
        </w:tblPrEx>
        <w:trPr>
          <w:trHeight w:val="1125" w:hRule="atLeast"/>
          <w:jc w:val="center"/>
        </w:trPr>
        <w:tc>
          <w:tcPr>
            <w:tcW w:w="1190" w:type="dxa"/>
            <w:tcBorders>
              <w:top w:val="single" w:color="auto" w:sz="4" w:space="0"/>
              <w:left w:val="single" w:color="auto" w:sz="4" w:space="0"/>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分部分项工程</w:t>
            </w:r>
          </w:p>
        </w:tc>
        <w:tc>
          <w:tcPr>
            <w:tcW w:w="2557" w:type="dxa"/>
            <w:tcBorders>
              <w:top w:val="single" w:color="auto" w:sz="4" w:space="0"/>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重点部位和环节</w:t>
            </w:r>
          </w:p>
        </w:tc>
        <w:tc>
          <w:tcPr>
            <w:tcW w:w="4676" w:type="dxa"/>
            <w:tcBorders>
              <w:top w:val="single" w:color="auto" w:sz="4" w:space="0"/>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保障工程周边环境安全和工程施工安全的意见</w:t>
            </w:r>
          </w:p>
        </w:tc>
        <w:tc>
          <w:tcPr>
            <w:tcW w:w="1233" w:type="dxa"/>
            <w:tcBorders>
              <w:top w:val="single" w:color="auto" w:sz="4" w:space="0"/>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是否涉及</w:t>
            </w:r>
          </w:p>
        </w:tc>
      </w:tr>
      <w:tr>
        <w:tblPrEx>
          <w:tblLayout w:type="fixed"/>
          <w:tblCellMar>
            <w:top w:w="0" w:type="dxa"/>
            <w:left w:w="108" w:type="dxa"/>
            <w:bottom w:w="0" w:type="dxa"/>
            <w:right w:w="108" w:type="dxa"/>
          </w:tblCellMar>
        </w:tblPrEx>
        <w:trPr>
          <w:trHeight w:val="1980" w:hRule="atLeast"/>
          <w:jc w:val="center"/>
        </w:trPr>
        <w:tc>
          <w:tcPr>
            <w:tcW w:w="1190" w:type="dxa"/>
            <w:vMerge w:val="restart"/>
            <w:tcBorders>
              <w:top w:val="nil"/>
              <w:left w:val="single" w:color="auto" w:sz="4" w:space="0"/>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基坑工程</w:t>
            </w:r>
          </w:p>
        </w:tc>
        <w:tc>
          <w:tcPr>
            <w:tcW w:w="2557" w:type="dxa"/>
            <w:tcBorders>
              <w:top w:val="nil"/>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（一）开挖深度超过3m（含3m）的基坑（槽）（槽）的土方开挖、支护、降水工程。</w:t>
            </w:r>
          </w:p>
        </w:tc>
        <w:tc>
          <w:tcPr>
            <w:tcW w:w="4676" w:type="dxa"/>
            <w:tcBorders>
              <w:top w:val="nil"/>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应进行专项基坑支护设计。</w:t>
            </w:r>
            <w:r>
              <w:rPr>
                <w:rFonts w:hint="eastAsia"/>
                <w:color w:val="auto"/>
                <w:sz w:val="22"/>
                <w:szCs w:val="18"/>
              </w:rPr>
              <w:br w:type="textWrapping"/>
            </w:r>
            <w:r>
              <w:rPr>
                <w:rFonts w:hint="eastAsia"/>
                <w:color w:val="auto"/>
                <w:sz w:val="22"/>
                <w:szCs w:val="18"/>
              </w:rPr>
              <w:t>施工单位应根据项目实际情况组织工程技术人员编制专项施工方案。</w:t>
            </w:r>
          </w:p>
        </w:tc>
        <w:tc>
          <w:tcPr>
            <w:tcW w:w="1233" w:type="dxa"/>
            <w:tcBorders>
              <w:top w:val="nil"/>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w:t>
            </w:r>
          </w:p>
        </w:tc>
      </w:tr>
      <w:tr>
        <w:tblPrEx>
          <w:tblLayout w:type="fixed"/>
          <w:tblCellMar>
            <w:top w:w="0" w:type="dxa"/>
            <w:left w:w="108" w:type="dxa"/>
            <w:bottom w:w="0" w:type="dxa"/>
            <w:right w:w="108" w:type="dxa"/>
          </w:tblCellMar>
        </w:tblPrEx>
        <w:trPr>
          <w:trHeight w:val="2430" w:hRule="atLeast"/>
          <w:jc w:val="center"/>
        </w:trPr>
        <w:tc>
          <w:tcPr>
            <w:tcW w:w="1190" w:type="dxa"/>
            <w:vMerge w:val="continue"/>
            <w:tcBorders>
              <w:top w:val="nil"/>
              <w:left w:val="single" w:color="auto" w:sz="4" w:space="0"/>
              <w:bottom w:val="single" w:color="auto" w:sz="4" w:space="0"/>
              <w:right w:val="single" w:color="auto" w:sz="4" w:space="0"/>
            </w:tcBorders>
            <w:vAlign w:val="center"/>
          </w:tcPr>
          <w:p>
            <w:pPr>
              <w:spacing w:line="240" w:lineRule="auto"/>
              <w:rPr>
                <w:rFonts w:hint="eastAsia"/>
                <w:color w:val="auto"/>
                <w:sz w:val="22"/>
                <w:szCs w:val="18"/>
              </w:rPr>
            </w:pPr>
          </w:p>
        </w:tc>
        <w:tc>
          <w:tcPr>
            <w:tcW w:w="2557" w:type="dxa"/>
            <w:tcBorders>
              <w:top w:val="nil"/>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（二）开挖深度虽未超过3m，但地质条件、周围环境和地下管线复杂，或影响毗邻建、构筑物安全的基坑（槽）的土方开挖、支护、降水工程。</w:t>
            </w:r>
          </w:p>
        </w:tc>
        <w:tc>
          <w:tcPr>
            <w:tcW w:w="4676" w:type="dxa"/>
            <w:tcBorders>
              <w:top w:val="nil"/>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建设单位应当依法提供真实、准确、完整的工程地质、</w:t>
            </w:r>
            <w:r>
              <w:rPr>
                <w:rFonts w:hint="eastAsia"/>
                <w:color w:val="auto"/>
                <w:sz w:val="22"/>
                <w:szCs w:val="18"/>
              </w:rPr>
              <w:br w:type="textWrapping"/>
            </w:r>
            <w:r>
              <w:rPr>
                <w:rFonts w:hint="eastAsia"/>
                <w:color w:val="auto"/>
                <w:sz w:val="22"/>
                <w:szCs w:val="18"/>
              </w:rPr>
              <w:t>水文地质和工程周边环境等资料。</w:t>
            </w:r>
            <w:r>
              <w:rPr>
                <w:rFonts w:hint="eastAsia"/>
                <w:color w:val="auto"/>
                <w:sz w:val="22"/>
                <w:szCs w:val="18"/>
              </w:rPr>
              <w:br w:type="textWrapping"/>
            </w:r>
            <w:r>
              <w:rPr>
                <w:rFonts w:hint="eastAsia"/>
                <w:color w:val="auto"/>
                <w:sz w:val="22"/>
                <w:szCs w:val="18"/>
              </w:rPr>
              <w:t>施工单位应根据项目实际情况组织工程技术人员编制专项施工方案。</w:t>
            </w:r>
          </w:p>
        </w:tc>
        <w:tc>
          <w:tcPr>
            <w:tcW w:w="1233" w:type="dxa"/>
            <w:tcBorders>
              <w:top w:val="nil"/>
              <w:left w:val="nil"/>
              <w:bottom w:val="single" w:color="auto" w:sz="4" w:space="0"/>
              <w:right w:val="single" w:color="auto" w:sz="4" w:space="0"/>
            </w:tcBorders>
            <w:vAlign w:val="center"/>
          </w:tcPr>
          <w:p>
            <w:pPr>
              <w:spacing w:line="240" w:lineRule="auto"/>
              <w:rPr>
                <w:rFonts w:hint="eastAsia"/>
                <w:color w:val="auto"/>
                <w:sz w:val="22"/>
                <w:szCs w:val="18"/>
              </w:rPr>
            </w:pPr>
            <w:r>
              <w:rPr>
                <w:rFonts w:hint="eastAsia"/>
                <w:color w:val="auto"/>
                <w:sz w:val="22"/>
                <w:szCs w:val="18"/>
              </w:rPr>
              <w:t>√</w:t>
            </w:r>
          </w:p>
        </w:tc>
      </w:tr>
    </w:tbl>
    <w:p>
      <w:pPr>
        <w:pStyle w:val="86"/>
        <w:ind w:firstLine="984" w:firstLineChars="400"/>
        <w:rPr>
          <w:color w:val="auto"/>
        </w:rPr>
      </w:pPr>
      <w:r>
        <w:rPr>
          <w:rFonts w:hint="eastAsia"/>
          <w:color w:val="auto"/>
          <w:lang w:eastAsia="zh-CN"/>
        </w:rPr>
        <w:t>具体位置包含但不限于如下</w:t>
      </w:r>
      <w:r>
        <w:rPr>
          <w:rFonts w:hint="eastAsia"/>
          <w:color w:val="auto"/>
        </w:rPr>
        <w:t>：</w:t>
      </w:r>
    </w:p>
    <w:tbl>
      <w:tblPr>
        <w:tblStyle w:val="24"/>
        <w:tblW w:w="96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48"/>
        <w:gridCol w:w="679"/>
        <w:gridCol w:w="1133"/>
        <w:gridCol w:w="1239"/>
        <w:gridCol w:w="4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770" w:type="dxa"/>
            <w:vAlign w:val="center"/>
          </w:tcPr>
          <w:p>
            <w:pPr>
              <w:widowControl/>
              <w:adjustRightInd w:val="0"/>
              <w:snapToGrid w:val="0"/>
              <w:spacing w:line="240" w:lineRule="auto"/>
              <w:jc w:val="center"/>
              <w:rPr>
                <w:color w:val="auto"/>
                <w:kern w:val="0"/>
                <w:sz w:val="21"/>
                <w:szCs w:val="24"/>
              </w:rPr>
            </w:pPr>
            <w:r>
              <w:rPr>
                <w:color w:val="auto"/>
                <w:kern w:val="0"/>
                <w:sz w:val="21"/>
                <w:szCs w:val="24"/>
              </w:rPr>
              <w:t>序号</w:t>
            </w:r>
          </w:p>
        </w:tc>
        <w:tc>
          <w:tcPr>
            <w:tcW w:w="2960" w:type="dxa"/>
            <w:gridSpan w:val="3"/>
            <w:vAlign w:val="center"/>
          </w:tcPr>
          <w:p>
            <w:pPr>
              <w:widowControl/>
              <w:adjustRightInd w:val="0"/>
              <w:snapToGrid w:val="0"/>
              <w:spacing w:line="240" w:lineRule="auto"/>
              <w:jc w:val="center"/>
              <w:rPr>
                <w:color w:val="auto"/>
                <w:kern w:val="0"/>
                <w:sz w:val="21"/>
                <w:szCs w:val="24"/>
              </w:rPr>
            </w:pPr>
            <w:r>
              <w:rPr>
                <w:color w:val="auto"/>
                <w:kern w:val="0"/>
                <w:sz w:val="21"/>
                <w:szCs w:val="24"/>
              </w:rPr>
              <w:t>井编号</w:t>
            </w:r>
          </w:p>
        </w:tc>
        <w:tc>
          <w:tcPr>
            <w:tcW w:w="1239" w:type="dxa"/>
            <w:vAlign w:val="center"/>
          </w:tcPr>
          <w:p>
            <w:pPr>
              <w:widowControl/>
              <w:adjustRightInd w:val="0"/>
              <w:snapToGrid w:val="0"/>
              <w:spacing w:line="240" w:lineRule="auto"/>
              <w:jc w:val="center"/>
              <w:rPr>
                <w:color w:val="auto"/>
                <w:kern w:val="0"/>
                <w:sz w:val="21"/>
                <w:szCs w:val="24"/>
              </w:rPr>
            </w:pPr>
            <w:r>
              <w:rPr>
                <w:color w:val="auto"/>
                <w:kern w:val="0"/>
                <w:sz w:val="21"/>
                <w:szCs w:val="24"/>
              </w:rPr>
              <w:t>长度（m）</w:t>
            </w:r>
          </w:p>
        </w:tc>
        <w:tc>
          <w:tcPr>
            <w:tcW w:w="4687" w:type="dxa"/>
            <w:vAlign w:val="center"/>
          </w:tcPr>
          <w:p>
            <w:pPr>
              <w:widowControl/>
              <w:adjustRightInd w:val="0"/>
              <w:snapToGrid w:val="0"/>
              <w:spacing w:line="240" w:lineRule="auto"/>
              <w:jc w:val="center"/>
              <w:rPr>
                <w:color w:val="auto"/>
                <w:kern w:val="0"/>
                <w:sz w:val="21"/>
                <w:szCs w:val="24"/>
              </w:rPr>
            </w:pPr>
            <w:r>
              <w:rPr>
                <w:color w:val="auto"/>
                <w:kern w:val="0"/>
                <w:sz w:val="21"/>
                <w:szCs w:val="24"/>
              </w:rPr>
              <w:t>危险源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70" w:type="dxa"/>
            <w:vAlign w:val="center"/>
          </w:tcPr>
          <w:p>
            <w:pPr>
              <w:widowControl/>
              <w:adjustRightInd w:val="0"/>
              <w:snapToGrid w:val="0"/>
              <w:spacing w:line="240" w:lineRule="auto"/>
              <w:jc w:val="center"/>
              <w:rPr>
                <w:rStyle w:val="20"/>
                <w:color w:val="auto"/>
                <w:sz w:val="22"/>
                <w:szCs w:val="22"/>
              </w:rPr>
            </w:pPr>
            <w:r>
              <w:rPr>
                <w:rStyle w:val="20"/>
                <w:color w:val="auto"/>
                <w:sz w:val="22"/>
                <w:szCs w:val="22"/>
              </w:rPr>
              <w:t>1</w:t>
            </w:r>
          </w:p>
        </w:tc>
        <w:tc>
          <w:tcPr>
            <w:tcW w:w="1148" w:type="dxa"/>
            <w:vAlign w:val="center"/>
          </w:tcPr>
          <w:p>
            <w:pPr>
              <w:widowControl/>
              <w:adjustRightInd w:val="0"/>
              <w:snapToGrid w:val="0"/>
              <w:spacing w:line="240" w:lineRule="auto"/>
              <w:jc w:val="center"/>
              <w:rPr>
                <w:rStyle w:val="20"/>
                <w:rFonts w:hint="eastAsia" w:eastAsia="宋体"/>
                <w:color w:val="auto"/>
                <w:sz w:val="22"/>
                <w:szCs w:val="22"/>
                <w:lang w:val="en-US" w:eastAsia="zh-CN"/>
              </w:rPr>
            </w:pPr>
            <w:r>
              <w:rPr>
                <w:rStyle w:val="20"/>
                <w:rFonts w:hint="eastAsia"/>
                <w:color w:val="auto"/>
                <w:sz w:val="22"/>
                <w:szCs w:val="22"/>
                <w:lang w:val="en-US" w:eastAsia="zh-CN"/>
              </w:rPr>
              <w:t>W-1</w:t>
            </w:r>
          </w:p>
        </w:tc>
        <w:tc>
          <w:tcPr>
            <w:tcW w:w="679" w:type="dxa"/>
            <w:vAlign w:val="center"/>
          </w:tcPr>
          <w:p>
            <w:pPr>
              <w:widowControl/>
              <w:adjustRightInd w:val="0"/>
              <w:snapToGrid w:val="0"/>
              <w:spacing w:line="240" w:lineRule="auto"/>
              <w:jc w:val="center"/>
              <w:rPr>
                <w:rStyle w:val="20"/>
                <w:color w:val="auto"/>
                <w:sz w:val="22"/>
                <w:szCs w:val="22"/>
              </w:rPr>
            </w:pPr>
            <w:r>
              <w:rPr>
                <w:rStyle w:val="20"/>
                <w:color w:val="auto"/>
                <w:sz w:val="22"/>
                <w:szCs w:val="22"/>
              </w:rPr>
              <w:t>～</w:t>
            </w:r>
          </w:p>
        </w:tc>
        <w:tc>
          <w:tcPr>
            <w:tcW w:w="1133" w:type="dxa"/>
            <w:vAlign w:val="center"/>
          </w:tcPr>
          <w:p>
            <w:pPr>
              <w:widowControl/>
              <w:adjustRightInd w:val="0"/>
              <w:snapToGrid w:val="0"/>
              <w:spacing w:line="240" w:lineRule="auto"/>
              <w:jc w:val="center"/>
              <w:rPr>
                <w:rStyle w:val="20"/>
                <w:rFonts w:hint="eastAsia" w:eastAsia="宋体"/>
                <w:color w:val="auto"/>
                <w:sz w:val="22"/>
                <w:szCs w:val="22"/>
                <w:lang w:val="en-US" w:eastAsia="zh-CN"/>
              </w:rPr>
            </w:pPr>
            <w:r>
              <w:rPr>
                <w:rStyle w:val="20"/>
                <w:rFonts w:hint="eastAsia"/>
                <w:color w:val="auto"/>
                <w:sz w:val="22"/>
                <w:szCs w:val="22"/>
                <w:lang w:val="en-US" w:eastAsia="zh-CN"/>
              </w:rPr>
              <w:t>W-3</w:t>
            </w:r>
          </w:p>
        </w:tc>
        <w:tc>
          <w:tcPr>
            <w:tcW w:w="1239" w:type="dxa"/>
            <w:vAlign w:val="center"/>
          </w:tcPr>
          <w:p>
            <w:pPr>
              <w:widowControl/>
              <w:adjustRightInd w:val="0"/>
              <w:snapToGrid w:val="0"/>
              <w:spacing w:line="240" w:lineRule="auto"/>
              <w:jc w:val="center"/>
              <w:rPr>
                <w:rStyle w:val="20"/>
                <w:rFonts w:hint="eastAsia" w:eastAsia="宋体"/>
                <w:color w:val="auto"/>
                <w:sz w:val="22"/>
                <w:szCs w:val="22"/>
                <w:lang w:eastAsia="zh-CN"/>
              </w:rPr>
            </w:pPr>
            <w:r>
              <w:rPr>
                <w:rStyle w:val="20"/>
                <w:color w:val="auto"/>
                <w:sz w:val="22"/>
                <w:szCs w:val="22"/>
              </w:rPr>
              <w:t>4</w:t>
            </w:r>
            <w:r>
              <w:rPr>
                <w:rStyle w:val="20"/>
                <w:rFonts w:hint="eastAsia"/>
                <w:color w:val="auto"/>
                <w:sz w:val="22"/>
                <w:szCs w:val="22"/>
                <w:lang w:val="en-US" w:eastAsia="zh-CN"/>
              </w:rPr>
              <w:t>3</w:t>
            </w:r>
          </w:p>
        </w:tc>
        <w:tc>
          <w:tcPr>
            <w:tcW w:w="4687" w:type="dxa"/>
            <w:vAlign w:val="center"/>
          </w:tcPr>
          <w:p>
            <w:pPr>
              <w:widowControl/>
              <w:adjustRightInd w:val="0"/>
              <w:snapToGrid w:val="0"/>
              <w:spacing w:line="240" w:lineRule="auto"/>
              <w:jc w:val="left"/>
              <w:rPr>
                <w:rStyle w:val="20"/>
                <w:color w:val="auto"/>
                <w:sz w:val="22"/>
                <w:szCs w:val="22"/>
              </w:rPr>
            </w:pPr>
            <w:r>
              <w:rPr>
                <w:rStyle w:val="20"/>
                <w:color w:val="auto"/>
                <w:sz w:val="22"/>
                <w:szCs w:val="22"/>
              </w:rPr>
              <w:t>危险性较大的分部分项工程（基坑开挖深度大于3.0m，小于5.0m），最大深度</w:t>
            </w:r>
            <w:r>
              <w:rPr>
                <w:rStyle w:val="20"/>
                <w:rFonts w:hint="eastAsia"/>
                <w:color w:val="auto"/>
                <w:sz w:val="22"/>
                <w:szCs w:val="22"/>
                <w:lang w:val="en-US" w:eastAsia="zh-CN"/>
              </w:rPr>
              <w:t>3.4</w:t>
            </w:r>
            <w:r>
              <w:rPr>
                <w:rStyle w:val="20"/>
                <w:color w:val="auto"/>
                <w:sz w:val="22"/>
                <w:szCs w:val="2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1" w:hRule="atLeast"/>
          <w:jc w:val="center"/>
        </w:trPr>
        <w:tc>
          <w:tcPr>
            <w:tcW w:w="770" w:type="dxa"/>
            <w:vAlign w:val="center"/>
          </w:tcPr>
          <w:p>
            <w:pPr>
              <w:widowControl/>
              <w:adjustRightInd w:val="0"/>
              <w:snapToGrid w:val="0"/>
              <w:spacing w:line="240" w:lineRule="auto"/>
              <w:jc w:val="center"/>
              <w:rPr>
                <w:rStyle w:val="20"/>
                <w:color w:val="auto"/>
                <w:sz w:val="22"/>
                <w:szCs w:val="22"/>
              </w:rPr>
            </w:pPr>
            <w:r>
              <w:rPr>
                <w:rStyle w:val="20"/>
                <w:color w:val="auto"/>
                <w:sz w:val="22"/>
                <w:szCs w:val="22"/>
              </w:rPr>
              <w:t>2</w:t>
            </w:r>
          </w:p>
        </w:tc>
        <w:tc>
          <w:tcPr>
            <w:tcW w:w="1148" w:type="dxa"/>
            <w:vAlign w:val="center"/>
          </w:tcPr>
          <w:p>
            <w:pPr>
              <w:widowControl/>
              <w:adjustRightInd w:val="0"/>
              <w:snapToGrid w:val="0"/>
              <w:spacing w:line="240" w:lineRule="auto"/>
              <w:jc w:val="center"/>
              <w:rPr>
                <w:rStyle w:val="20"/>
                <w:color w:val="auto"/>
                <w:sz w:val="22"/>
                <w:szCs w:val="22"/>
              </w:rPr>
            </w:pPr>
            <w:r>
              <w:rPr>
                <w:rStyle w:val="20"/>
                <w:color w:val="auto"/>
                <w:sz w:val="22"/>
                <w:szCs w:val="22"/>
              </w:rPr>
              <w:t>Y</w:t>
            </w:r>
            <w:r>
              <w:rPr>
                <w:rStyle w:val="20"/>
                <w:rFonts w:hint="eastAsia"/>
                <w:color w:val="auto"/>
                <w:sz w:val="22"/>
                <w:szCs w:val="22"/>
                <w:lang w:val="en-US" w:eastAsia="zh-CN"/>
              </w:rPr>
              <w:t>-2</w:t>
            </w:r>
          </w:p>
        </w:tc>
        <w:tc>
          <w:tcPr>
            <w:tcW w:w="679" w:type="dxa"/>
            <w:vAlign w:val="center"/>
          </w:tcPr>
          <w:p>
            <w:pPr>
              <w:widowControl/>
              <w:adjustRightInd w:val="0"/>
              <w:snapToGrid w:val="0"/>
              <w:spacing w:line="240" w:lineRule="auto"/>
              <w:jc w:val="center"/>
              <w:rPr>
                <w:rStyle w:val="20"/>
                <w:color w:val="auto"/>
                <w:sz w:val="22"/>
                <w:szCs w:val="22"/>
              </w:rPr>
            </w:pPr>
            <w:r>
              <w:rPr>
                <w:rStyle w:val="20"/>
                <w:color w:val="auto"/>
                <w:sz w:val="22"/>
                <w:szCs w:val="22"/>
              </w:rPr>
              <w:t>～</w:t>
            </w:r>
          </w:p>
        </w:tc>
        <w:tc>
          <w:tcPr>
            <w:tcW w:w="1133" w:type="dxa"/>
            <w:vAlign w:val="center"/>
          </w:tcPr>
          <w:p>
            <w:pPr>
              <w:widowControl/>
              <w:adjustRightInd w:val="0"/>
              <w:snapToGrid w:val="0"/>
              <w:spacing w:line="240" w:lineRule="auto"/>
              <w:jc w:val="center"/>
              <w:rPr>
                <w:rStyle w:val="20"/>
                <w:rFonts w:hint="eastAsia" w:eastAsia="宋体"/>
                <w:color w:val="auto"/>
                <w:sz w:val="22"/>
                <w:szCs w:val="22"/>
                <w:lang w:val="en-US" w:eastAsia="zh-CN"/>
              </w:rPr>
            </w:pPr>
            <w:r>
              <w:rPr>
                <w:rStyle w:val="20"/>
                <w:color w:val="auto"/>
                <w:sz w:val="22"/>
                <w:szCs w:val="22"/>
              </w:rPr>
              <w:t>Y</w:t>
            </w:r>
            <w:r>
              <w:rPr>
                <w:rStyle w:val="20"/>
                <w:rFonts w:hint="eastAsia"/>
                <w:color w:val="auto"/>
                <w:sz w:val="22"/>
                <w:szCs w:val="22"/>
                <w:lang w:val="en-US" w:eastAsia="zh-CN"/>
              </w:rPr>
              <w:t>-4</w:t>
            </w:r>
          </w:p>
        </w:tc>
        <w:tc>
          <w:tcPr>
            <w:tcW w:w="1239" w:type="dxa"/>
            <w:vAlign w:val="center"/>
          </w:tcPr>
          <w:p>
            <w:pPr>
              <w:widowControl/>
              <w:adjustRightInd w:val="0"/>
              <w:snapToGrid w:val="0"/>
              <w:spacing w:line="240" w:lineRule="auto"/>
              <w:jc w:val="center"/>
              <w:rPr>
                <w:rStyle w:val="20"/>
                <w:rFonts w:hint="eastAsia" w:eastAsia="宋体"/>
                <w:color w:val="auto"/>
                <w:sz w:val="22"/>
                <w:szCs w:val="22"/>
                <w:lang w:val="en-US" w:eastAsia="zh-CN"/>
              </w:rPr>
            </w:pPr>
            <w:r>
              <w:rPr>
                <w:rStyle w:val="20"/>
                <w:rFonts w:hint="eastAsia"/>
                <w:color w:val="auto"/>
                <w:sz w:val="22"/>
                <w:szCs w:val="22"/>
                <w:lang w:val="en-US" w:eastAsia="zh-CN"/>
              </w:rPr>
              <w:t>30</w:t>
            </w:r>
          </w:p>
        </w:tc>
        <w:tc>
          <w:tcPr>
            <w:tcW w:w="4687" w:type="dxa"/>
            <w:vAlign w:val="center"/>
          </w:tcPr>
          <w:p>
            <w:pPr>
              <w:widowControl/>
              <w:adjustRightInd w:val="0"/>
              <w:snapToGrid w:val="0"/>
              <w:spacing w:line="240" w:lineRule="auto"/>
              <w:jc w:val="left"/>
              <w:rPr>
                <w:rStyle w:val="20"/>
                <w:color w:val="auto"/>
                <w:sz w:val="22"/>
                <w:szCs w:val="22"/>
              </w:rPr>
            </w:pPr>
            <w:r>
              <w:rPr>
                <w:rStyle w:val="20"/>
                <w:color w:val="auto"/>
                <w:sz w:val="22"/>
                <w:szCs w:val="22"/>
              </w:rPr>
              <w:t>超过一定规模的危险性较大的分部分项工程（开挖深度超过5.0m），最大深度</w:t>
            </w:r>
            <w:r>
              <w:rPr>
                <w:rStyle w:val="20"/>
                <w:rFonts w:hint="eastAsia"/>
                <w:color w:val="auto"/>
                <w:sz w:val="22"/>
                <w:szCs w:val="22"/>
                <w:lang w:val="en-US" w:eastAsia="zh-CN"/>
              </w:rPr>
              <w:t>8.16</w:t>
            </w:r>
            <w:r>
              <w:rPr>
                <w:rStyle w:val="20"/>
                <w:color w:val="auto"/>
                <w:sz w:val="22"/>
                <w:szCs w:val="2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70" w:type="dxa"/>
            <w:vAlign w:val="center"/>
          </w:tcPr>
          <w:p>
            <w:pPr>
              <w:widowControl/>
              <w:adjustRightInd w:val="0"/>
              <w:snapToGrid w:val="0"/>
              <w:spacing w:line="240" w:lineRule="auto"/>
              <w:jc w:val="center"/>
              <w:rPr>
                <w:color w:val="auto"/>
                <w:kern w:val="0"/>
                <w:sz w:val="22"/>
                <w:szCs w:val="22"/>
              </w:rPr>
            </w:pPr>
            <w:r>
              <w:rPr>
                <w:rStyle w:val="20"/>
                <w:color w:val="auto"/>
                <w:sz w:val="22"/>
                <w:szCs w:val="22"/>
              </w:rPr>
              <w:t>3</w:t>
            </w:r>
          </w:p>
        </w:tc>
        <w:tc>
          <w:tcPr>
            <w:tcW w:w="1148" w:type="dxa"/>
            <w:vAlign w:val="center"/>
          </w:tcPr>
          <w:p>
            <w:pPr>
              <w:widowControl/>
              <w:adjustRightInd w:val="0"/>
              <w:snapToGrid w:val="0"/>
              <w:spacing w:line="240" w:lineRule="auto"/>
              <w:jc w:val="center"/>
              <w:rPr>
                <w:rFonts w:hint="eastAsia" w:eastAsia="宋体"/>
                <w:color w:val="auto"/>
                <w:kern w:val="0"/>
                <w:sz w:val="22"/>
                <w:szCs w:val="22"/>
                <w:lang w:val="en-US" w:eastAsia="zh-CN"/>
              </w:rPr>
            </w:pPr>
            <w:r>
              <w:rPr>
                <w:rStyle w:val="20"/>
                <w:rFonts w:hint="eastAsia"/>
                <w:color w:val="auto"/>
                <w:sz w:val="22"/>
                <w:szCs w:val="22"/>
                <w:lang w:val="en-US" w:eastAsia="zh-CN"/>
              </w:rPr>
              <w:t>Y-2.1</w:t>
            </w:r>
          </w:p>
        </w:tc>
        <w:tc>
          <w:tcPr>
            <w:tcW w:w="679" w:type="dxa"/>
            <w:vAlign w:val="center"/>
          </w:tcPr>
          <w:p>
            <w:pPr>
              <w:widowControl/>
              <w:adjustRightInd w:val="0"/>
              <w:snapToGrid w:val="0"/>
              <w:spacing w:line="240" w:lineRule="auto"/>
              <w:jc w:val="center"/>
              <w:rPr>
                <w:color w:val="auto"/>
                <w:kern w:val="0"/>
                <w:sz w:val="22"/>
                <w:szCs w:val="22"/>
              </w:rPr>
            </w:pPr>
            <w:r>
              <w:rPr>
                <w:rStyle w:val="20"/>
                <w:color w:val="auto"/>
                <w:sz w:val="22"/>
                <w:szCs w:val="22"/>
              </w:rPr>
              <w:t>～</w:t>
            </w:r>
          </w:p>
        </w:tc>
        <w:tc>
          <w:tcPr>
            <w:tcW w:w="1133" w:type="dxa"/>
            <w:vAlign w:val="center"/>
          </w:tcPr>
          <w:p>
            <w:pPr>
              <w:widowControl/>
              <w:adjustRightInd w:val="0"/>
              <w:snapToGrid w:val="0"/>
              <w:spacing w:line="240" w:lineRule="auto"/>
              <w:jc w:val="center"/>
              <w:rPr>
                <w:rFonts w:hint="eastAsia" w:eastAsia="宋体"/>
                <w:color w:val="auto"/>
                <w:kern w:val="0"/>
                <w:sz w:val="22"/>
                <w:szCs w:val="22"/>
                <w:lang w:val="en-US" w:eastAsia="zh-CN"/>
              </w:rPr>
            </w:pPr>
            <w:r>
              <w:rPr>
                <w:rStyle w:val="20"/>
                <w:color w:val="auto"/>
                <w:sz w:val="22"/>
                <w:szCs w:val="22"/>
              </w:rPr>
              <w:t>Y</w:t>
            </w:r>
            <w:r>
              <w:rPr>
                <w:rStyle w:val="20"/>
                <w:rFonts w:hint="eastAsia"/>
                <w:color w:val="auto"/>
                <w:sz w:val="22"/>
                <w:szCs w:val="22"/>
                <w:lang w:val="en-US" w:eastAsia="zh-CN"/>
              </w:rPr>
              <w:t>-2</w:t>
            </w:r>
          </w:p>
        </w:tc>
        <w:tc>
          <w:tcPr>
            <w:tcW w:w="1239" w:type="dxa"/>
            <w:vAlign w:val="center"/>
          </w:tcPr>
          <w:p>
            <w:pPr>
              <w:widowControl/>
              <w:adjustRightInd w:val="0"/>
              <w:snapToGrid w:val="0"/>
              <w:spacing w:line="240" w:lineRule="auto"/>
              <w:jc w:val="center"/>
              <w:rPr>
                <w:color w:val="auto"/>
                <w:kern w:val="0"/>
                <w:sz w:val="22"/>
                <w:szCs w:val="22"/>
              </w:rPr>
            </w:pPr>
            <w:r>
              <w:rPr>
                <w:rStyle w:val="20"/>
                <w:color w:val="auto"/>
                <w:sz w:val="22"/>
                <w:szCs w:val="22"/>
              </w:rPr>
              <w:t>192</w:t>
            </w:r>
          </w:p>
        </w:tc>
        <w:tc>
          <w:tcPr>
            <w:tcW w:w="4687" w:type="dxa"/>
            <w:vAlign w:val="center"/>
          </w:tcPr>
          <w:p>
            <w:pPr>
              <w:widowControl/>
              <w:adjustRightInd w:val="0"/>
              <w:snapToGrid w:val="0"/>
              <w:spacing w:line="240" w:lineRule="auto"/>
              <w:jc w:val="center"/>
              <w:rPr>
                <w:color w:val="auto"/>
                <w:kern w:val="0"/>
                <w:sz w:val="22"/>
                <w:szCs w:val="22"/>
              </w:rPr>
            </w:pPr>
            <w:r>
              <w:rPr>
                <w:rStyle w:val="20"/>
                <w:color w:val="auto"/>
                <w:sz w:val="22"/>
                <w:szCs w:val="22"/>
              </w:rPr>
              <w:t>危险性较大的分部分项工程（基坑开挖深度大于3.0m，小于5.0m），最大深度</w:t>
            </w:r>
            <w:r>
              <w:rPr>
                <w:rStyle w:val="20"/>
                <w:rFonts w:hint="eastAsia"/>
                <w:color w:val="auto"/>
                <w:sz w:val="22"/>
                <w:szCs w:val="22"/>
                <w:lang w:val="en-US" w:eastAsia="zh-CN"/>
              </w:rPr>
              <w:t>3.6</w:t>
            </w:r>
            <w:r>
              <w:rPr>
                <w:rStyle w:val="20"/>
                <w:color w:val="auto"/>
                <w:sz w:val="22"/>
                <w:szCs w:val="22"/>
              </w:rPr>
              <w:t>m</w:t>
            </w:r>
          </w:p>
        </w:tc>
      </w:tr>
    </w:tbl>
    <w:p>
      <w:pPr>
        <w:pStyle w:val="86"/>
        <w:ind w:firstLine="493"/>
        <w:rPr>
          <w:rFonts w:hint="eastAsia"/>
          <w:color w:val="auto"/>
        </w:rPr>
      </w:pPr>
      <w:r>
        <w:rPr>
          <w:rFonts w:hint="eastAsia"/>
          <w:color w:val="auto"/>
        </w:rPr>
        <w:t>以上危大工程清单未包含“模板工程及支撑体系”、“起重吊装及安装拆卸工程”及“脚手架工程”等项目，由施工单位根据工程实际补充完善。此外，施工单位应对工程全线进行排查，补充完善遗漏的危大工程重点部位及环节。</w:t>
      </w:r>
    </w:p>
    <w:p>
      <w:pPr>
        <w:pStyle w:val="86"/>
        <w:ind w:firstLine="493"/>
        <w:rPr>
          <w:rFonts w:hint="eastAsia"/>
          <w:color w:val="auto"/>
        </w:rPr>
      </w:pPr>
      <w:r>
        <w:rPr>
          <w:rFonts w:hint="eastAsia"/>
          <w:color w:val="auto"/>
        </w:rPr>
        <w:t>施工前施工单位应对危大工程部位进行详细踏勘，查明所在区域地形、地貌及相关建（构）筑物、弄清其与本次施工结构的相互位置关系，评价施工期间可能对其产生的影响，不限于以上危大工程清单；</w:t>
      </w:r>
    </w:p>
    <w:p>
      <w:pPr>
        <w:pStyle w:val="86"/>
        <w:ind w:firstLine="493"/>
        <w:rPr>
          <w:rFonts w:hint="eastAsia"/>
          <w:color w:val="auto"/>
        </w:rPr>
      </w:pPr>
      <w:r>
        <w:rPr>
          <w:rFonts w:hint="eastAsia"/>
          <w:color w:val="auto"/>
        </w:rPr>
        <w:t>施工前施工单位应对全线进行排查，补充完善遗漏的危大工程重点部位及环节。施工前施工单位应对危大工程编制专项施工方案，对于超过一定规模的危大工程，施工单位应组织召开专家论证会对专项施工方案进行论证，通过后方可实施。</w:t>
      </w:r>
    </w:p>
    <w:p>
      <w:pPr>
        <w:pStyle w:val="4"/>
        <w:spacing w:before="176"/>
        <w:rPr>
          <w:color w:val="auto"/>
        </w:rPr>
      </w:pPr>
      <w:r>
        <w:rPr>
          <w:color w:val="auto"/>
        </w:rPr>
        <w:t>施工注意事项</w:t>
      </w:r>
    </w:p>
    <w:p>
      <w:pPr>
        <w:pStyle w:val="86"/>
        <w:ind w:firstLine="493"/>
        <w:rPr>
          <w:color w:val="auto"/>
        </w:rPr>
      </w:pPr>
      <w:r>
        <w:rPr>
          <w:color w:val="auto"/>
        </w:rPr>
        <w:t>1</w:t>
      </w:r>
      <w:r>
        <w:rPr>
          <w:rFonts w:hint="eastAsia"/>
          <w:color w:val="auto"/>
          <w:lang w:eastAsia="zh-CN"/>
        </w:rPr>
        <w:t>.</w:t>
      </w:r>
      <w:r>
        <w:rPr>
          <w:color w:val="auto"/>
        </w:rPr>
        <w:t>排水管线长度均为理论平面长度，施工时以实测为准。</w:t>
      </w:r>
    </w:p>
    <w:p>
      <w:pPr>
        <w:pStyle w:val="86"/>
        <w:ind w:firstLine="493"/>
        <w:rPr>
          <w:color w:val="auto"/>
        </w:rPr>
      </w:pPr>
      <w:r>
        <w:rPr>
          <w:color w:val="auto"/>
        </w:rPr>
        <w:t>2</w:t>
      </w:r>
      <w:r>
        <w:rPr>
          <w:rFonts w:hint="eastAsia"/>
          <w:color w:val="auto"/>
          <w:lang w:eastAsia="zh-CN"/>
        </w:rPr>
        <w:t>.</w:t>
      </w:r>
      <w:r>
        <w:rPr>
          <w:rFonts w:hint="eastAsia"/>
          <w:color w:val="auto"/>
        </w:rPr>
        <w:t>一般情况下</w:t>
      </w:r>
      <w:r>
        <w:rPr>
          <w:color w:val="auto"/>
        </w:rPr>
        <w:t>，不采用临时支护措施时的放坡坡率控制在1:0.75~1:1之间（其中</w:t>
      </w:r>
      <w:r>
        <w:rPr>
          <w:rFonts w:hint="eastAsia"/>
          <w:color w:val="auto"/>
        </w:rPr>
        <w:t>“</w:t>
      </w:r>
      <w:r>
        <w:rPr>
          <w:color w:val="auto"/>
        </w:rPr>
        <w:t>排水管道沟槽开挖断面图</w:t>
      </w:r>
      <w:r>
        <w:rPr>
          <w:rFonts w:hint="eastAsia"/>
          <w:color w:val="auto"/>
        </w:rPr>
        <w:t>”</w:t>
      </w:r>
      <w:r>
        <w:rPr>
          <w:color w:val="auto"/>
        </w:rPr>
        <w:t>中给出的边坡开挖坡率为一般情况下的建议值），</w:t>
      </w:r>
      <w:r>
        <w:rPr>
          <w:rFonts w:hint="eastAsia"/>
          <w:color w:val="auto"/>
        </w:rPr>
        <w:t>实施时</w:t>
      </w:r>
      <w:r>
        <w:rPr>
          <w:color w:val="auto"/>
        </w:rPr>
        <w:t>施工单位</w:t>
      </w:r>
      <w:r>
        <w:rPr>
          <w:rFonts w:hint="eastAsia"/>
          <w:color w:val="auto"/>
        </w:rPr>
        <w:t>根据</w:t>
      </w:r>
      <w:r>
        <w:rPr>
          <w:color w:val="auto"/>
        </w:rPr>
        <w:t>现场具体</w:t>
      </w:r>
      <w:r>
        <w:rPr>
          <w:rFonts w:hint="eastAsia"/>
          <w:color w:val="auto"/>
        </w:rPr>
        <w:t>地质</w:t>
      </w:r>
      <w:r>
        <w:rPr>
          <w:color w:val="auto"/>
        </w:rPr>
        <w:t>情况确定；采取临时支护措施的可选用内撑法护壁</w:t>
      </w:r>
      <w:r>
        <w:rPr>
          <w:rFonts w:hint="eastAsia"/>
          <w:color w:val="auto"/>
        </w:rPr>
        <w:t>。施工时</w:t>
      </w:r>
      <w:r>
        <w:rPr>
          <w:color w:val="auto"/>
        </w:rPr>
        <w:t>应做好施工安全措施。</w:t>
      </w:r>
    </w:p>
    <w:p>
      <w:pPr>
        <w:pStyle w:val="86"/>
        <w:ind w:firstLine="493"/>
        <w:rPr>
          <w:color w:val="auto"/>
        </w:rPr>
      </w:pPr>
      <w:r>
        <w:rPr>
          <w:color w:val="auto"/>
        </w:rPr>
        <w:t>根据地勘成果，本次设计说明及图纸中给出关于沟槽开挖坡率、开挖方式，地基处理方式等措施。施工单位施工如遇地质情况与地勘、设计中不符的情况，应会同</w:t>
      </w:r>
      <w:r>
        <w:rPr>
          <w:rFonts w:hint="eastAsia"/>
          <w:color w:val="auto"/>
        </w:rPr>
        <w:t>建设</w:t>
      </w:r>
      <w:r>
        <w:rPr>
          <w:color w:val="auto"/>
        </w:rPr>
        <w:t>单位、</w:t>
      </w:r>
      <w:r>
        <w:rPr>
          <w:rFonts w:hint="eastAsia"/>
          <w:color w:val="auto"/>
        </w:rPr>
        <w:t>监理单位、</w:t>
      </w:r>
      <w:r>
        <w:rPr>
          <w:color w:val="auto"/>
        </w:rPr>
        <w:t>地勘单位、设计单位会商解决。</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eastAsia" w:cs="Times New Roman"/>
          <w:b w:val="0"/>
          <w:bCs/>
          <w:color w:val="auto"/>
          <w:sz w:val="24"/>
          <w:szCs w:val="24"/>
          <w:lang w:val="en-US" w:eastAsia="zh-CN"/>
        </w:rPr>
        <w:t>3</w:t>
      </w:r>
      <w:r>
        <w:rPr>
          <w:rFonts w:hint="default" w:ascii="Times New Roman" w:hAnsi="Times New Roman" w:cs="Times New Roman" w:eastAsiaTheme="minorEastAsia"/>
          <w:b w:val="0"/>
          <w:bCs/>
          <w:color w:val="auto"/>
          <w:sz w:val="24"/>
          <w:szCs w:val="24"/>
        </w:rPr>
        <w:t>.管道放线：</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rPr>
        <w:t>本工程排水管道放线均按检查井坐标表严格放线，检查井坐标点为主线管道轴线投影与检查井横轴线交点。</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eastAsia" w:cs="Times New Roman"/>
          <w:b w:val="0"/>
          <w:bCs/>
          <w:color w:val="auto"/>
          <w:sz w:val="24"/>
          <w:szCs w:val="24"/>
          <w:lang w:val="en-US" w:eastAsia="zh-CN"/>
        </w:rPr>
        <w:t>4</w:t>
      </w:r>
      <w:r>
        <w:rPr>
          <w:rFonts w:hint="default" w:ascii="Times New Roman" w:hAnsi="Times New Roman" w:cs="Times New Roman" w:eastAsiaTheme="minorEastAsia"/>
          <w:b w:val="0"/>
          <w:bCs/>
          <w:color w:val="auto"/>
          <w:sz w:val="24"/>
          <w:szCs w:val="24"/>
        </w:rPr>
        <w:t>.现场复核</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rPr>
        <w:t>本工程</w:t>
      </w:r>
      <w:r>
        <w:rPr>
          <w:rFonts w:hint="default" w:ascii="Times New Roman" w:hAnsi="Times New Roman" w:cs="Times New Roman" w:eastAsiaTheme="minorEastAsia"/>
          <w:b w:val="0"/>
          <w:bCs/>
          <w:color w:val="auto"/>
          <w:sz w:val="24"/>
          <w:szCs w:val="24"/>
          <w:lang w:eastAsia="zh-CN"/>
        </w:rPr>
        <w:t>雨污水</w:t>
      </w:r>
      <w:r>
        <w:rPr>
          <w:rFonts w:hint="default" w:ascii="Times New Roman" w:hAnsi="Times New Roman" w:cs="Times New Roman" w:eastAsiaTheme="minorEastAsia"/>
          <w:b w:val="0"/>
          <w:bCs/>
          <w:color w:val="auto"/>
          <w:sz w:val="24"/>
          <w:szCs w:val="24"/>
        </w:rPr>
        <w:t>水上下游管线必须接顺。</w:t>
      </w:r>
      <w:r>
        <w:rPr>
          <w:rFonts w:hint="default" w:ascii="Times New Roman" w:hAnsi="Times New Roman" w:cs="Times New Roman" w:eastAsiaTheme="minorEastAsia"/>
          <w:b w:val="0"/>
          <w:bCs/>
          <w:color w:val="auto"/>
          <w:sz w:val="24"/>
          <w:szCs w:val="24"/>
          <w:lang w:eastAsia="zh-CN"/>
        </w:rPr>
        <w:t>特别是末端接现状排水管道，</w:t>
      </w:r>
      <w:r>
        <w:rPr>
          <w:rFonts w:hint="default" w:ascii="Times New Roman" w:hAnsi="Times New Roman" w:cs="Times New Roman" w:eastAsiaTheme="minorEastAsia"/>
          <w:b w:val="0"/>
          <w:bCs/>
          <w:color w:val="auto"/>
          <w:sz w:val="24"/>
          <w:szCs w:val="24"/>
        </w:rPr>
        <w:t>设计要求在施工放线时首先复核上下游现状管渠、接纳水体等的位置、标高、断面尺寸等，若与设计有不符之处，必须立即通知设计单位研究处理。</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lang w:eastAsia="zh-CN"/>
        </w:rPr>
      </w:pPr>
      <w:r>
        <w:rPr>
          <w:rFonts w:hint="eastAsia" w:cs="Times New Roman"/>
          <w:b w:val="0"/>
          <w:bCs/>
          <w:color w:val="auto"/>
          <w:sz w:val="24"/>
          <w:szCs w:val="24"/>
          <w:lang w:val="en-US" w:eastAsia="zh-CN"/>
        </w:rPr>
        <w:t>5</w:t>
      </w:r>
      <w:r>
        <w:rPr>
          <w:rFonts w:hint="default" w:ascii="Times New Roman" w:hAnsi="Times New Roman" w:cs="Times New Roman" w:eastAsiaTheme="minorEastAsia"/>
          <w:b w:val="0"/>
          <w:bCs/>
          <w:color w:val="auto"/>
          <w:sz w:val="24"/>
          <w:szCs w:val="24"/>
        </w:rPr>
        <w:t>.沟槽开挖</w:t>
      </w:r>
      <w:r>
        <w:rPr>
          <w:rFonts w:hint="default" w:ascii="Times New Roman" w:hAnsi="Times New Roman" w:cs="Times New Roman" w:eastAsiaTheme="minorEastAsia"/>
          <w:b w:val="0"/>
          <w:bCs/>
          <w:color w:val="auto"/>
          <w:sz w:val="24"/>
          <w:szCs w:val="24"/>
          <w:lang w:eastAsia="zh-CN"/>
        </w:rPr>
        <w:t>及回填</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lang w:val="en-US" w:eastAsia="zh-CN"/>
        </w:rPr>
        <w:t>1）</w:t>
      </w:r>
      <w:r>
        <w:rPr>
          <w:rFonts w:hint="default" w:ascii="Times New Roman" w:hAnsi="Times New Roman" w:cs="Times New Roman" w:eastAsiaTheme="minorEastAsia"/>
          <w:color w:val="auto"/>
          <w:sz w:val="24"/>
          <w:szCs w:val="24"/>
          <w:highlight w:val="none"/>
        </w:rPr>
        <w:t>排水管道地基处理应满足道路工程的要求和管道基础对承载力的要求。管底填方高度不大于3m时，可按道路密实度要求回填到路基标高后，再开挖管槽施工管道；管底填方大于3m时，应按道路密实度要求回填至管顶以上1.5m后，再开挖管槽施工管道；且管道基槽应超挖0.3m，再回填0.3m厚的级配碎石，最后施工管道基础。管道施工回填压实后，再分层回填压实至设计路面高程。当开挖沟槽基础为岩石时，槽底应超挖200mm，采用砂砾石回填至</w:t>
      </w:r>
      <w:r>
        <w:rPr>
          <w:rFonts w:hint="eastAsia" w:cs="Times New Roman"/>
          <w:color w:val="auto"/>
          <w:sz w:val="24"/>
          <w:szCs w:val="24"/>
          <w:highlight w:val="none"/>
          <w:lang w:eastAsia="zh-CN"/>
        </w:rPr>
        <w:t>管道</w:t>
      </w:r>
      <w:r>
        <w:rPr>
          <w:rFonts w:hint="default" w:ascii="Times New Roman" w:hAnsi="Times New Roman" w:cs="Times New Roman" w:eastAsiaTheme="minorEastAsia"/>
          <w:color w:val="auto"/>
          <w:sz w:val="24"/>
          <w:szCs w:val="24"/>
          <w:highlight w:val="none"/>
        </w:rPr>
        <w:t>设计高程后，再施工管道基础。</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2）沟槽开挖的开挖边坡坡度根据所开挖的地质岩层确定，同时应满足施工规范要求。开挖时如发现不良地质，则需根据有关施工规范对沟槽作支撑处理。</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3）基槽开挖应尽量与相邻建（构）筑物保持一定距离，避免对现有建（构）筑物造成影响和破坏；必要时可进行托底处理，并严禁爆破开挖。</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4）根据现行《给水排水管道工程施工及验收规范》（GB50268-2008）的规定以及本工程地质勘察报告中对容许开挖坡率和沟槽支档措施的建议，一般情况下，临时开挖边坡坡率按GB50268-2008第4.3.3条执行。</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5）施工时应做好地面排水及沟槽排水；地下水发育地段应采取必要的人工降水措施，将地下水降至沟槽以下0.5m，以防止水泡沟槽。施工砂石基础时，槽底不得积水。</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6）在不稳定土层中应增设沟槽支撑。沟槽与建筑物、地下管线及其他设施水平距离较近时应对沟槽支撑进行加固。</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7）对由于开挖而暴露的泥岩应及时采取措施进行表面封闭处理。</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8）在有顺层裂隙、含有软弱层的陡岩边坡地带，必须分段跳槽开挖，并做好支撑，以保证施工安全。施工时严禁放炮，如发生发现有崩塌、滑坡及掉块或岩体松动等迹象，应及时会同有关单位进行处理。</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9）管道及构筑物地基承载力值详后表。若地基承载力达不到设计要求，应按照相关规范采用地基处理措施。</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10）管及结构物强度达到设计强度及闭水试验合格后应及时进行沟槽回填，回填必须在管及结构物强度达到设计强度的90%以后才可进行。</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11）沟槽回填时，须要求分层压实、对称均匀回填。管两侧及管顶以上1米范围内采用轻夯压实，管道两侧压实面的高差不应超过0.3m。</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12）槽底至管顶以上1m范围内，回填不得含有机物及大于50mm的砖、石等硬块。</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13）管胸腔两侧回填土的压实度不小于95%，管顶以上0.5米范围内回填土压实度不小于85%（轻击实标准）。管道处于路基内，则管顶以上部分回填土的压实度按路基要求执行。回填材料采用砂砾石及压实度必须符合《给水排水管道工程施工及验收规范》(GB50268—2008)等相关规定。管区(沟槽底至管顶以上1.0m范围内)禁止采用推土机等大型机械进行回填。回填时可以采用人工手动机械进行夯实，达到相应的密实度要求。</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14）</w:t>
      </w:r>
      <w:r>
        <w:rPr>
          <w:rFonts w:hint="eastAsia" w:cs="Times New Roman"/>
          <w:color w:val="auto"/>
          <w:sz w:val="24"/>
          <w:szCs w:val="24"/>
          <w:highlight w:val="none"/>
          <w:lang w:eastAsia="zh-CN"/>
        </w:rPr>
        <w:t>车行道</w:t>
      </w:r>
      <w:r>
        <w:rPr>
          <w:rFonts w:hint="default" w:ascii="Times New Roman" w:hAnsi="Times New Roman" w:cs="Times New Roman" w:eastAsiaTheme="minorEastAsia"/>
          <w:color w:val="auto"/>
          <w:sz w:val="24"/>
          <w:szCs w:val="24"/>
          <w:highlight w:val="none"/>
        </w:rPr>
        <w:t>检查井周围的回填要求：</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检查井砌体或现浇砼需达到设计强度后才允许回填。</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井室及井筒周围的回填应与管沟槽回填同时进行。</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井室及井筒周围回填压实时应沿井室中心对称进行，且不得漏夯。</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井室及井筒周围0.5m范围内应采用砂卵石或碎石回填。</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结构物下沟槽超挖部分回填，当高度大于0.3m时，采用浆砌块石（MU30块石M10水泥砂浆）回填；当高度小于或等于0.3m时采用C20素混凝土回填。</w:t>
      </w:r>
    </w:p>
    <w:p>
      <w:pPr>
        <w:keepNext w:val="0"/>
        <w:keepLines w:val="0"/>
        <w:pageBreakBefore w:val="0"/>
        <w:kinsoku/>
        <w:wordWrap/>
        <w:overflowPunct/>
        <w:topLinePunct w:val="0"/>
        <w:autoSpaceDE/>
        <w:autoSpaceDN/>
        <w:bidi w:val="0"/>
        <w:spacing w:line="360" w:lineRule="auto"/>
        <w:ind w:firstLine="492" w:firstLineChars="20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15)管内径大于800mm的柔性管道，回填施工时应在管内设竖向支撑。</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eastAsia" w:cs="Times New Roman"/>
          <w:b w:val="0"/>
          <w:bCs/>
          <w:color w:val="auto"/>
          <w:sz w:val="24"/>
          <w:szCs w:val="24"/>
          <w:lang w:val="en-US" w:eastAsia="zh-CN"/>
        </w:rPr>
        <w:t>6</w:t>
      </w:r>
      <w:r>
        <w:rPr>
          <w:rFonts w:hint="default" w:ascii="Times New Roman" w:hAnsi="Times New Roman" w:cs="Times New Roman" w:eastAsiaTheme="minorEastAsia"/>
          <w:b w:val="0"/>
          <w:bCs/>
          <w:color w:val="auto"/>
          <w:sz w:val="24"/>
          <w:szCs w:val="24"/>
        </w:rPr>
        <w:t>.地基处理</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A.管道及构筑物基础持力层要求为稳定的老土层、基岩、经分层碾压处理的填筑土（压实系数不小于0.95）或经分层碾压处理的路基（压实系数不小于0.95），地基承载力特征值要求根据管道埋深确定：</w:t>
      </w:r>
    </w:p>
    <w:tbl>
      <w:tblPr>
        <w:tblStyle w:val="24"/>
        <w:tblW w:w="8529"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2"/>
        <w:gridCol w:w="2530"/>
        <w:gridCol w:w="503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blHeader/>
          <w:jc w:val="center"/>
        </w:trPr>
        <w:tc>
          <w:tcPr>
            <w:tcW w:w="962" w:type="dxa"/>
            <w:tcBorders>
              <w:top w:val="single" w:color="auto" w:sz="4" w:space="0"/>
              <w:bottom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序号</w:t>
            </w:r>
          </w:p>
        </w:tc>
        <w:tc>
          <w:tcPr>
            <w:tcW w:w="2530" w:type="dxa"/>
            <w:tcBorders>
              <w:top w:val="single" w:color="auto" w:sz="4" w:space="0"/>
              <w:bottom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管道埋深（H）</w:t>
            </w:r>
          </w:p>
        </w:tc>
        <w:tc>
          <w:tcPr>
            <w:tcW w:w="5037" w:type="dxa"/>
            <w:tcBorders>
              <w:top w:val="single" w:color="auto" w:sz="4" w:space="0"/>
              <w:bottom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地基承载力特征值（P）（KPa）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62" w:type="dxa"/>
            <w:tcBorders>
              <w:top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val="en-US" w:eastAsia="zh-CN" w:bidi="ar-SA"/>
              </w:rPr>
            </w:pPr>
            <w:r>
              <w:rPr>
                <w:rFonts w:hint="default" w:ascii="Times New Roman" w:hAnsi="Times New Roman" w:cs="Times New Roman" w:eastAsiaTheme="minorEastAsia"/>
                <w:color w:val="auto"/>
                <w:kern w:val="0"/>
                <w:sz w:val="24"/>
                <w:szCs w:val="24"/>
                <w:highlight w:val="none"/>
              </w:rPr>
              <w:t>1</w:t>
            </w:r>
          </w:p>
        </w:tc>
        <w:tc>
          <w:tcPr>
            <w:tcW w:w="2530" w:type="dxa"/>
            <w:tcBorders>
              <w:top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val="en-US" w:eastAsia="zh-CN" w:bidi="ar-SA"/>
              </w:rPr>
            </w:pPr>
            <w:r>
              <w:rPr>
                <w:rFonts w:hint="default" w:ascii="Times New Roman" w:hAnsi="Times New Roman" w:cs="Times New Roman" w:eastAsiaTheme="minorEastAsia"/>
                <w:color w:val="auto"/>
                <w:kern w:val="0"/>
                <w:sz w:val="24"/>
                <w:szCs w:val="24"/>
                <w:highlight w:val="none"/>
              </w:rPr>
              <w:t>H≤</w:t>
            </w:r>
            <w:r>
              <w:rPr>
                <w:rFonts w:hint="default" w:ascii="Times New Roman" w:hAnsi="Times New Roman" w:cs="Times New Roman" w:eastAsiaTheme="minorEastAsia"/>
                <w:color w:val="auto"/>
                <w:kern w:val="0"/>
                <w:sz w:val="24"/>
                <w:szCs w:val="24"/>
                <w:highlight w:val="none"/>
                <w:lang w:val="en-US" w:eastAsia="zh-CN"/>
              </w:rPr>
              <w:t>3</w:t>
            </w:r>
            <w:r>
              <w:rPr>
                <w:rFonts w:hint="default" w:ascii="Times New Roman" w:hAnsi="Times New Roman" w:cs="Times New Roman" w:eastAsiaTheme="minorEastAsia"/>
                <w:color w:val="auto"/>
                <w:kern w:val="0"/>
                <w:sz w:val="24"/>
                <w:szCs w:val="24"/>
                <w:highlight w:val="none"/>
              </w:rPr>
              <w:t>m</w:t>
            </w:r>
          </w:p>
        </w:tc>
        <w:tc>
          <w:tcPr>
            <w:tcW w:w="5037" w:type="dxa"/>
            <w:tcBorders>
              <w:top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val="en-US" w:eastAsia="zh-CN" w:bidi="ar-SA"/>
              </w:rPr>
            </w:pPr>
            <w:r>
              <w:rPr>
                <w:rFonts w:hint="default" w:ascii="Times New Roman" w:hAnsi="Times New Roman" w:cs="Times New Roman" w:eastAsiaTheme="minorEastAsia"/>
                <w:color w:val="auto"/>
                <w:kern w:val="0"/>
                <w:sz w:val="24"/>
                <w:szCs w:val="24"/>
                <w:highlight w:val="none"/>
              </w:rPr>
              <w:t>P≥1</w:t>
            </w:r>
            <w:r>
              <w:rPr>
                <w:rFonts w:hint="eastAsia" w:cs="Times New Roman" w:eastAsiaTheme="minorEastAsia"/>
                <w:color w:val="auto"/>
                <w:kern w:val="0"/>
                <w:sz w:val="24"/>
                <w:szCs w:val="24"/>
                <w:highlight w:val="none"/>
                <w:lang w:val="en-US" w:eastAsia="zh-CN"/>
              </w:rPr>
              <w:t>3</w:t>
            </w:r>
            <w:r>
              <w:rPr>
                <w:rFonts w:hint="default" w:ascii="Times New Roman" w:hAnsi="Times New Roman" w:cs="Times New Roman" w:eastAsiaTheme="minorEastAsia"/>
                <w:color w:val="auto"/>
                <w:kern w:val="0"/>
                <w:sz w:val="24"/>
                <w:szCs w:val="24"/>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62" w:type="dxa"/>
            <w:tcBorders>
              <w:top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val="en-US" w:eastAsia="zh-CN" w:bidi="ar-SA"/>
              </w:rPr>
            </w:pPr>
            <w:r>
              <w:rPr>
                <w:rFonts w:hint="default" w:ascii="Times New Roman" w:hAnsi="Times New Roman" w:cs="Times New Roman" w:eastAsiaTheme="minorEastAsia"/>
                <w:color w:val="auto"/>
                <w:kern w:val="0"/>
                <w:sz w:val="24"/>
                <w:szCs w:val="24"/>
                <w:highlight w:val="none"/>
              </w:rPr>
              <w:t>2</w:t>
            </w:r>
          </w:p>
        </w:tc>
        <w:tc>
          <w:tcPr>
            <w:tcW w:w="2530" w:type="dxa"/>
            <w:tcBorders>
              <w:top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lang w:val="en-US" w:eastAsia="zh-CN"/>
              </w:rPr>
              <w:t>3</w:t>
            </w:r>
            <w:r>
              <w:rPr>
                <w:rFonts w:hint="default" w:ascii="Times New Roman" w:hAnsi="Times New Roman" w:cs="Times New Roman" w:eastAsiaTheme="minorEastAsia"/>
                <w:color w:val="auto"/>
                <w:kern w:val="0"/>
                <w:sz w:val="24"/>
                <w:szCs w:val="24"/>
                <w:highlight w:val="none"/>
              </w:rPr>
              <w:t>m＜H≤5m</w:t>
            </w:r>
          </w:p>
        </w:tc>
        <w:tc>
          <w:tcPr>
            <w:tcW w:w="5037" w:type="dxa"/>
            <w:tcBorders>
              <w:top w:val="single" w:color="auto" w:sz="6" w:space="0"/>
            </w:tcBorders>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P≥</w:t>
            </w:r>
            <w:r>
              <w:rPr>
                <w:rFonts w:hint="default" w:ascii="Times New Roman" w:hAnsi="Times New Roman" w:cs="Times New Roman" w:eastAsiaTheme="minorEastAsia"/>
                <w:color w:val="auto"/>
                <w:kern w:val="0"/>
                <w:sz w:val="24"/>
                <w:szCs w:val="24"/>
                <w:highlight w:val="none"/>
                <w:lang w:val="en-US" w:eastAsia="zh-CN"/>
              </w:rPr>
              <w:t>1</w:t>
            </w:r>
            <w:r>
              <w:rPr>
                <w:rFonts w:hint="eastAsia" w:cs="Times New Roman" w:eastAsiaTheme="minorEastAsia"/>
                <w:color w:val="auto"/>
                <w:kern w:val="0"/>
                <w:sz w:val="24"/>
                <w:szCs w:val="24"/>
                <w:highlight w:val="none"/>
                <w:lang w:val="en-US" w:eastAsia="zh-CN"/>
              </w:rPr>
              <w:t>4</w:t>
            </w:r>
            <w:r>
              <w:rPr>
                <w:rFonts w:hint="default" w:ascii="Times New Roman" w:hAnsi="Times New Roman" w:cs="Times New Roman" w:eastAsiaTheme="minorEastAsia"/>
                <w:color w:val="auto"/>
                <w:kern w:val="0"/>
                <w:sz w:val="24"/>
                <w:szCs w:val="24"/>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62"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val="en-US" w:eastAsia="zh-CN"/>
              </w:rPr>
            </w:pPr>
            <w:r>
              <w:rPr>
                <w:rFonts w:hint="default" w:ascii="Times New Roman" w:hAnsi="Times New Roman" w:cs="Times New Roman" w:eastAsiaTheme="minorEastAsia"/>
                <w:color w:val="auto"/>
                <w:kern w:val="0"/>
                <w:sz w:val="24"/>
                <w:szCs w:val="24"/>
                <w:highlight w:val="none"/>
                <w:lang w:val="en-US" w:eastAsia="zh-CN"/>
              </w:rPr>
              <w:t>3</w:t>
            </w:r>
          </w:p>
        </w:tc>
        <w:tc>
          <w:tcPr>
            <w:tcW w:w="2530"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5m＜H≤6m</w:t>
            </w:r>
          </w:p>
        </w:tc>
        <w:tc>
          <w:tcPr>
            <w:tcW w:w="5037"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P≥1</w:t>
            </w:r>
            <w:r>
              <w:rPr>
                <w:rFonts w:hint="eastAsia" w:cs="Times New Roman" w:eastAsiaTheme="minorEastAsia"/>
                <w:color w:val="auto"/>
                <w:kern w:val="0"/>
                <w:sz w:val="24"/>
                <w:szCs w:val="24"/>
                <w:highlight w:val="none"/>
                <w:lang w:val="en-US" w:eastAsia="zh-CN"/>
              </w:rPr>
              <w:t>5</w:t>
            </w:r>
            <w:r>
              <w:rPr>
                <w:rFonts w:hint="default" w:ascii="Times New Roman" w:hAnsi="Times New Roman" w:cs="Times New Roman" w:eastAsiaTheme="minorEastAsia"/>
                <w:color w:val="auto"/>
                <w:kern w:val="0"/>
                <w:sz w:val="24"/>
                <w:szCs w:val="24"/>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62"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eastAsia="zh-CN"/>
              </w:rPr>
            </w:pPr>
            <w:r>
              <w:rPr>
                <w:rFonts w:hint="default" w:ascii="Times New Roman" w:hAnsi="Times New Roman" w:cs="Times New Roman" w:eastAsiaTheme="minorEastAsia"/>
                <w:color w:val="auto"/>
                <w:kern w:val="0"/>
                <w:sz w:val="24"/>
                <w:szCs w:val="24"/>
                <w:highlight w:val="none"/>
                <w:lang w:val="en-US" w:eastAsia="zh-CN"/>
              </w:rPr>
              <w:t>4</w:t>
            </w:r>
          </w:p>
        </w:tc>
        <w:tc>
          <w:tcPr>
            <w:tcW w:w="2530"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6m＜H≤7m</w:t>
            </w:r>
          </w:p>
        </w:tc>
        <w:tc>
          <w:tcPr>
            <w:tcW w:w="5037"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P≥1</w:t>
            </w:r>
            <w:r>
              <w:rPr>
                <w:rFonts w:hint="default" w:ascii="Times New Roman" w:hAnsi="Times New Roman" w:cs="Times New Roman" w:eastAsiaTheme="minorEastAsia"/>
                <w:color w:val="auto"/>
                <w:kern w:val="0"/>
                <w:sz w:val="24"/>
                <w:szCs w:val="24"/>
                <w:highlight w:val="none"/>
                <w:lang w:val="en-US" w:eastAsia="zh-CN"/>
              </w:rPr>
              <w:t>6</w:t>
            </w:r>
            <w:r>
              <w:rPr>
                <w:rFonts w:hint="default" w:ascii="Times New Roman" w:hAnsi="Times New Roman" w:cs="Times New Roman" w:eastAsiaTheme="minorEastAsia"/>
                <w:color w:val="auto"/>
                <w:kern w:val="0"/>
                <w:sz w:val="24"/>
                <w:szCs w:val="24"/>
                <w:highlight w:val="none"/>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62"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eastAsia="zh-CN"/>
              </w:rPr>
            </w:pPr>
            <w:r>
              <w:rPr>
                <w:rFonts w:hint="default" w:ascii="Times New Roman" w:hAnsi="Times New Roman" w:cs="Times New Roman" w:eastAsiaTheme="minorEastAsia"/>
                <w:color w:val="auto"/>
                <w:kern w:val="0"/>
                <w:sz w:val="24"/>
                <w:szCs w:val="24"/>
                <w:highlight w:val="none"/>
                <w:lang w:val="en-US" w:eastAsia="zh-CN"/>
              </w:rPr>
              <w:t>5</w:t>
            </w:r>
          </w:p>
        </w:tc>
        <w:tc>
          <w:tcPr>
            <w:tcW w:w="2530"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7m＜H≤8m</w:t>
            </w:r>
          </w:p>
        </w:tc>
        <w:tc>
          <w:tcPr>
            <w:tcW w:w="5037"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val="en-US" w:eastAsia="zh-CN"/>
              </w:rPr>
            </w:pPr>
            <w:r>
              <w:rPr>
                <w:rFonts w:hint="default" w:ascii="Times New Roman" w:hAnsi="Times New Roman" w:cs="Times New Roman" w:eastAsiaTheme="minorEastAsia"/>
                <w:color w:val="auto"/>
                <w:kern w:val="0"/>
                <w:sz w:val="24"/>
                <w:szCs w:val="24"/>
                <w:highlight w:val="none"/>
              </w:rPr>
              <w:t>P≥</w:t>
            </w:r>
            <w:r>
              <w:rPr>
                <w:rFonts w:hint="default" w:ascii="Times New Roman" w:hAnsi="Times New Roman" w:cs="Times New Roman" w:eastAsiaTheme="minorEastAsia"/>
                <w:color w:val="auto"/>
                <w:kern w:val="0"/>
                <w:sz w:val="24"/>
                <w:szCs w:val="24"/>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62"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eastAsia="zh-CN"/>
              </w:rPr>
            </w:pPr>
            <w:r>
              <w:rPr>
                <w:rFonts w:hint="default" w:ascii="Times New Roman" w:hAnsi="Times New Roman" w:cs="Times New Roman" w:eastAsiaTheme="minorEastAsia"/>
                <w:color w:val="auto"/>
                <w:kern w:val="0"/>
                <w:sz w:val="24"/>
                <w:szCs w:val="24"/>
                <w:highlight w:val="none"/>
                <w:lang w:val="en-US" w:eastAsia="zh-CN"/>
              </w:rPr>
              <w:t>6</w:t>
            </w:r>
          </w:p>
        </w:tc>
        <w:tc>
          <w:tcPr>
            <w:tcW w:w="2530"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rPr>
            </w:pPr>
            <w:r>
              <w:rPr>
                <w:rFonts w:hint="default" w:ascii="Times New Roman" w:hAnsi="Times New Roman" w:cs="Times New Roman" w:eastAsiaTheme="minorEastAsia"/>
                <w:color w:val="auto"/>
                <w:kern w:val="0"/>
                <w:sz w:val="24"/>
                <w:szCs w:val="24"/>
                <w:highlight w:val="none"/>
              </w:rPr>
              <w:t>8m＜H≤10m</w:t>
            </w:r>
          </w:p>
        </w:tc>
        <w:tc>
          <w:tcPr>
            <w:tcW w:w="5037" w:type="dxa"/>
            <w:vAlign w:val="center"/>
          </w:tcPr>
          <w:p>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outlineLvl w:val="9"/>
              <w:rPr>
                <w:rFonts w:hint="default" w:ascii="Times New Roman" w:hAnsi="Times New Roman" w:cs="Times New Roman" w:eastAsiaTheme="minorEastAsia"/>
                <w:color w:val="auto"/>
                <w:kern w:val="0"/>
                <w:sz w:val="24"/>
                <w:szCs w:val="24"/>
                <w:highlight w:val="none"/>
                <w:lang w:val="en-US" w:eastAsia="zh-CN"/>
              </w:rPr>
            </w:pPr>
            <w:r>
              <w:rPr>
                <w:rFonts w:hint="default" w:ascii="Times New Roman" w:hAnsi="Times New Roman" w:cs="Times New Roman" w:eastAsiaTheme="minorEastAsia"/>
                <w:color w:val="auto"/>
                <w:kern w:val="0"/>
                <w:sz w:val="24"/>
                <w:szCs w:val="24"/>
                <w:highlight w:val="none"/>
              </w:rPr>
              <w:t>P≥</w:t>
            </w:r>
            <w:r>
              <w:rPr>
                <w:rFonts w:hint="default" w:ascii="Times New Roman" w:hAnsi="Times New Roman" w:cs="Times New Roman" w:eastAsiaTheme="minorEastAsia"/>
                <w:color w:val="auto"/>
                <w:kern w:val="0"/>
                <w:sz w:val="24"/>
                <w:szCs w:val="24"/>
                <w:highlight w:val="none"/>
                <w:lang w:val="en-US" w:eastAsia="zh-CN"/>
              </w:rPr>
              <w:t>220</w:t>
            </w:r>
          </w:p>
        </w:tc>
      </w:tr>
    </w:tbl>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B.若管基持力层不能满足上一条要求，需进行地基处理：</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1）当管道位于新近填土上时，应将管底以下2.0m范围内的填土进行压实，压实度不小于0.94（重型击实标准），当管道位于路基范围，管底压实度还必须不小于道路回填所要求的压实度；如新近填土层较松散，且填土深度不大于2.0m时，应将填土层挖除，重新回填并进行压实处理，或采用级配碎石或碎石土（碎石含量不小于30%-50%）换填处理，压实要求同上；如新近填土层较松散，且填土深度大于2.0m时，则应采用桩基等其他处理措施，视施工时现场具体情况处理。</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2）当管基大部分位于土层上，局部地段位于岩石上时，应将岩石超挖300mm，再在管底下铺设中粗砂或砂卵石垫层，垫层压实系数不小于0.95.当管基全部位于岩石上时，可直接将基岩作为管基持力层。</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3）当出现土基和岩基交替分布时，在交界部位两侧各不小于2m范围内，于管道下设置300mm厚中粗砂或砂卵石垫层，要求同上。</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4）如施工时遇特殊地段，则应通知设计人员现场处理。</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C.在施工过程中不得超挖、不得扰动基面，如超挖应用中粗砂分层夯填，密实度不小于95%。基坑开挖到设计标高前需保留一铲土（250～300mm），待天晴时随挖随做管道基础。</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对于地质条件较差地段，如淤泥、杂填土等，必须进行换填。换填材料根据具体情况分别采用原土、砂石、浆砌片石、素混凝土等，具体采用材料及换填深由不同的地质情况确定。</w:t>
      </w:r>
    </w:p>
    <w:p>
      <w:pPr>
        <w:keepNext w:val="0"/>
        <w:keepLines w:val="0"/>
        <w:pageBreakBefore w:val="0"/>
        <w:kinsoku/>
        <w:wordWrap/>
        <w:overflowPunct/>
        <w:topLinePunct w:val="0"/>
        <w:autoSpaceDE/>
        <w:autoSpaceDN/>
        <w:bidi w:val="0"/>
        <w:spacing w:line="360" w:lineRule="auto"/>
        <w:ind w:firstLine="48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color w:val="auto"/>
          <w:sz w:val="24"/>
          <w:szCs w:val="24"/>
          <w:highlight w:val="none"/>
        </w:rPr>
        <w:t>为保证管道在使用期间的安全，由管理部门派人定期巡视。</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eastAsia" w:cs="Times New Roman"/>
          <w:b w:val="0"/>
          <w:bCs/>
          <w:color w:val="auto"/>
          <w:sz w:val="24"/>
          <w:szCs w:val="24"/>
          <w:lang w:val="en-US" w:eastAsia="zh-CN"/>
        </w:rPr>
        <w:t>7</w:t>
      </w:r>
      <w:r>
        <w:rPr>
          <w:rFonts w:hint="default" w:ascii="Times New Roman" w:hAnsi="Times New Roman" w:cs="Times New Roman" w:eastAsiaTheme="minorEastAsia"/>
          <w:b w:val="0"/>
          <w:bCs/>
          <w:color w:val="auto"/>
          <w:sz w:val="24"/>
          <w:szCs w:val="24"/>
        </w:rPr>
        <w:t>.管道安装</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rPr>
        <w:t>所有所有管道的安装必须严格执行《给水排水管道工程施工及验收规范》（GB50268-2008）的规定。</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eastAsia" w:cs="Times New Roman"/>
          <w:b w:val="0"/>
          <w:bCs/>
          <w:color w:val="auto"/>
          <w:sz w:val="24"/>
          <w:szCs w:val="24"/>
          <w:lang w:val="en-US" w:eastAsia="zh-CN"/>
        </w:rPr>
        <w:t>8</w:t>
      </w:r>
      <w:r>
        <w:rPr>
          <w:rFonts w:hint="default" w:ascii="Times New Roman" w:hAnsi="Times New Roman" w:cs="Times New Roman" w:eastAsiaTheme="minorEastAsia"/>
          <w:b w:val="0"/>
          <w:bCs/>
          <w:color w:val="auto"/>
          <w:sz w:val="24"/>
          <w:szCs w:val="24"/>
        </w:rPr>
        <w:t>.测试与试验</w:t>
      </w:r>
    </w:p>
    <w:p>
      <w:pPr>
        <w:keepNext w:val="0"/>
        <w:keepLines w:val="0"/>
        <w:pageBreakBefore w:val="0"/>
        <w:numPr>
          <w:ilvl w:val="0"/>
          <w:numId w:val="0"/>
        </w:numPr>
        <w:kinsoku/>
        <w:wordWrap/>
        <w:overflowPunct/>
        <w:topLinePunct w:val="0"/>
        <w:autoSpaceDE/>
        <w:autoSpaceDN/>
        <w:bidi w:val="0"/>
        <w:spacing w:line="360" w:lineRule="auto"/>
        <w:ind w:firstLine="492" w:firstLineChars="20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rPr>
        <w:t>所有的材料、产品均应有出厂检验合格证书，进场应按相关程序进行进场检验</w:t>
      </w:r>
      <w:r>
        <w:rPr>
          <w:rFonts w:hint="default" w:ascii="Times New Roman" w:hAnsi="Times New Roman" w:cs="Times New Roman" w:eastAsiaTheme="minorEastAsia"/>
          <w:b w:val="0"/>
          <w:bCs/>
          <w:color w:val="auto"/>
          <w:sz w:val="24"/>
          <w:szCs w:val="24"/>
          <w:lang w:eastAsia="zh-CN"/>
        </w:rPr>
        <w:t>，</w:t>
      </w:r>
      <w:r>
        <w:rPr>
          <w:rFonts w:hint="default" w:ascii="Times New Roman" w:hAnsi="Times New Roman" w:cs="Times New Roman" w:eastAsiaTheme="minorEastAsia"/>
          <w:b w:val="0"/>
          <w:bCs/>
          <w:color w:val="auto"/>
          <w:sz w:val="24"/>
          <w:szCs w:val="24"/>
          <w:lang w:val="en-US" w:eastAsia="zh-CN"/>
        </w:rPr>
        <w:t>塑料排水管道进场时，应按照相关标准规划进行见证取样抽检，检测参数包括规格尺寸、环刚度、柔度、冲击强度等项目</w:t>
      </w:r>
      <w:r>
        <w:rPr>
          <w:rFonts w:hint="default" w:ascii="Times New Roman" w:hAnsi="Times New Roman" w:cs="Times New Roman" w:eastAsiaTheme="minorEastAsia"/>
          <w:b w:val="0"/>
          <w:bCs/>
          <w:color w:val="auto"/>
          <w:sz w:val="24"/>
          <w:szCs w:val="24"/>
        </w:rPr>
        <w:t>。埋地塑料管双橡胶圈承插接口和钢筋混凝土管钢丝网水泥砂浆抹带接口在安装完毕后，须进行接口的水密性试验，试验方法按照各自相关专业规范进行。所有的污水管道在回填前还必须按照《给水排水管道工程施工及验收规范》的规定做管段闭水试验，雨水按管道井段数量抽样选取1/3进行试验；</w:t>
      </w:r>
      <w:r>
        <w:rPr>
          <w:rFonts w:hint="default" w:ascii="Times New Roman" w:hAnsi="Times New Roman" w:cs="Times New Roman" w:eastAsiaTheme="minorEastAsia"/>
          <w:b w:val="0"/>
          <w:bCs/>
          <w:color w:val="auto"/>
          <w:sz w:val="24"/>
          <w:szCs w:val="24"/>
          <w:lang w:val="en-US" w:eastAsia="zh-CN"/>
        </w:rPr>
        <w:t>闭水实验报告合格后方可进行污水管道的回填。</w:t>
      </w:r>
      <w:r>
        <w:rPr>
          <w:rFonts w:hint="default" w:ascii="Times New Roman" w:hAnsi="Times New Roman" w:cs="Times New Roman" w:eastAsiaTheme="minorEastAsia"/>
          <w:b w:val="0"/>
          <w:bCs/>
          <w:color w:val="auto"/>
          <w:sz w:val="24"/>
          <w:szCs w:val="24"/>
        </w:rPr>
        <w:t>试验不合格时，抽样井段数量应在原抽样基础上加倍进行试验。</w:t>
      </w:r>
    </w:p>
    <w:p>
      <w:pPr>
        <w:keepNext w:val="0"/>
        <w:keepLines w:val="0"/>
        <w:pageBreakBefore w:val="0"/>
        <w:numPr>
          <w:ilvl w:val="0"/>
          <w:numId w:val="0"/>
        </w:numPr>
        <w:kinsoku/>
        <w:wordWrap/>
        <w:overflowPunct/>
        <w:topLinePunct w:val="0"/>
        <w:autoSpaceDE/>
        <w:autoSpaceDN/>
        <w:bidi w:val="0"/>
        <w:spacing w:line="360" w:lineRule="auto"/>
        <w:ind w:firstLine="492" w:firstLineChars="200"/>
        <w:textAlignment w:val="auto"/>
        <w:outlineLvl w:val="9"/>
        <w:rPr>
          <w:rFonts w:hint="default" w:ascii="Times New Roman" w:hAnsi="Times New Roman" w:cs="Times New Roman" w:eastAsiaTheme="minorEastAsia"/>
          <w:b w:val="0"/>
          <w:bCs/>
          <w:color w:val="auto"/>
          <w:sz w:val="24"/>
          <w:szCs w:val="24"/>
          <w:lang w:val="en-US" w:eastAsia="zh-CN"/>
        </w:rPr>
      </w:pPr>
      <w:r>
        <w:rPr>
          <w:rFonts w:hint="eastAsia" w:cs="Times New Roman" w:eastAsiaTheme="minorEastAsia"/>
          <w:b w:val="0"/>
          <w:bCs/>
          <w:color w:val="auto"/>
          <w:sz w:val="24"/>
          <w:szCs w:val="24"/>
          <w:lang w:val="en-US" w:eastAsia="zh-CN"/>
        </w:rPr>
        <w:t>9.</w:t>
      </w:r>
      <w:r>
        <w:rPr>
          <w:rFonts w:hint="default" w:ascii="Times New Roman" w:hAnsi="Times New Roman" w:cs="Times New Roman" w:eastAsiaTheme="minorEastAsia"/>
          <w:b w:val="0"/>
          <w:bCs/>
          <w:color w:val="auto"/>
          <w:sz w:val="24"/>
          <w:szCs w:val="24"/>
          <w:lang w:val="en-US" w:eastAsia="zh-CN"/>
        </w:rPr>
        <w:t>管道变形检验</w:t>
      </w:r>
    </w:p>
    <w:p>
      <w:pPr>
        <w:keepNext w:val="0"/>
        <w:keepLines w:val="0"/>
        <w:pageBreakBefore w:val="0"/>
        <w:numPr>
          <w:ilvl w:val="0"/>
          <w:numId w:val="0"/>
        </w:numPr>
        <w:kinsoku/>
        <w:wordWrap/>
        <w:overflowPunct/>
        <w:topLinePunct w:val="0"/>
        <w:autoSpaceDE/>
        <w:autoSpaceDN/>
        <w:bidi w:val="0"/>
        <w:spacing w:line="360" w:lineRule="auto"/>
        <w:ind w:firstLine="492" w:firstLineChars="2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当塑料排水管道沟槽回填至设计高程后，应在12~24h内测量管道竖向直径变形量，并应计算管道变形率。管径内径小于800mm时可采用圆形心轴或闭路电视方法进行检测，管道内径大于等于800mm,可采用人工进入进行检测，误差不得大于1mm。</w:t>
      </w:r>
    </w:p>
    <w:p>
      <w:pPr>
        <w:keepNext w:val="0"/>
        <w:keepLines w:val="0"/>
        <w:pageBreakBefore w:val="0"/>
        <w:numPr>
          <w:ilvl w:val="0"/>
          <w:numId w:val="0"/>
        </w:numPr>
        <w:kinsoku/>
        <w:wordWrap/>
        <w:overflowPunct/>
        <w:topLinePunct w:val="0"/>
        <w:autoSpaceDE/>
        <w:autoSpaceDN/>
        <w:bidi w:val="0"/>
        <w:spacing w:line="360" w:lineRule="auto"/>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塑料排水管道变形率不应超过3%，当超过时应采用相应的处理措施。</w:t>
      </w:r>
    </w:p>
    <w:p>
      <w:pPr>
        <w:keepNext w:val="0"/>
        <w:keepLines w:val="0"/>
        <w:pageBreakBefore w:val="0"/>
        <w:numPr>
          <w:ilvl w:val="0"/>
          <w:numId w:val="0"/>
        </w:numPr>
        <w:kinsoku/>
        <w:wordWrap/>
        <w:overflowPunct/>
        <w:topLinePunct w:val="0"/>
        <w:autoSpaceDE/>
        <w:autoSpaceDN/>
        <w:bidi w:val="0"/>
        <w:spacing w:line="360" w:lineRule="auto"/>
        <w:ind w:leftChars="250"/>
        <w:textAlignment w:val="auto"/>
        <w:outlineLvl w:val="9"/>
        <w:rPr>
          <w:rFonts w:hint="default" w:ascii="Times New Roman" w:hAnsi="Times New Roman" w:cs="Times New Roman" w:eastAsiaTheme="minorEastAsia"/>
          <w:b w:val="0"/>
          <w:bCs/>
          <w:color w:val="auto"/>
          <w:sz w:val="24"/>
          <w:szCs w:val="24"/>
          <w:lang w:val="en-US" w:eastAsia="zh-CN"/>
        </w:rPr>
      </w:pPr>
      <w:r>
        <w:rPr>
          <w:rFonts w:hint="eastAsia" w:cs="Times New Roman" w:eastAsiaTheme="minorEastAsia"/>
          <w:b w:val="0"/>
          <w:bCs/>
          <w:color w:val="auto"/>
          <w:sz w:val="24"/>
          <w:szCs w:val="24"/>
          <w:lang w:val="en-US" w:eastAsia="zh-CN"/>
        </w:rPr>
        <w:t>10.</w:t>
      </w:r>
      <w:r>
        <w:rPr>
          <w:rFonts w:hint="default" w:ascii="Times New Roman" w:hAnsi="Times New Roman" w:cs="Times New Roman" w:eastAsiaTheme="minorEastAsia"/>
          <w:b w:val="0"/>
          <w:bCs/>
          <w:color w:val="auto"/>
          <w:sz w:val="24"/>
          <w:szCs w:val="24"/>
          <w:lang w:val="en-US" w:eastAsia="zh-CN"/>
        </w:rPr>
        <w:t>管道验收</w:t>
      </w:r>
    </w:p>
    <w:p>
      <w:pPr>
        <w:keepNext w:val="0"/>
        <w:keepLines w:val="0"/>
        <w:pageBreakBefore w:val="0"/>
        <w:numPr>
          <w:ilvl w:val="0"/>
          <w:numId w:val="0"/>
        </w:numPr>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管道验收按CJJ 61-2017 《城市地下管线探测技术规程》规定，排水管网工程竣工验收资料应当包含管道内窥检测报告（含影像资料）、竣工测量成果资料等相关工程资料。</w:t>
      </w:r>
    </w:p>
    <w:p>
      <w:pPr>
        <w:keepNext w:val="0"/>
        <w:keepLines w:val="0"/>
        <w:pageBreakBefore w:val="0"/>
        <w:numPr>
          <w:ilvl w:val="0"/>
          <w:numId w:val="0"/>
        </w:numPr>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eastAsia" w:cs="Times New Roman" w:eastAsiaTheme="minorEastAsia"/>
          <w:b w:val="0"/>
          <w:bCs/>
          <w:color w:val="auto"/>
          <w:sz w:val="24"/>
          <w:szCs w:val="24"/>
          <w:lang w:val="en-US" w:eastAsia="zh-CN"/>
        </w:rPr>
        <w:t>11</w:t>
      </w:r>
      <w:r>
        <w:rPr>
          <w:rFonts w:hint="default" w:ascii="Times New Roman" w:hAnsi="Times New Roman" w:cs="Times New Roman" w:eastAsiaTheme="minorEastAsia"/>
          <w:b w:val="0"/>
          <w:bCs/>
          <w:color w:val="auto"/>
          <w:sz w:val="24"/>
          <w:szCs w:val="24"/>
          <w:lang w:val="en-US" w:eastAsia="zh-CN"/>
        </w:rPr>
        <w:t>.管网维护</w:t>
      </w:r>
    </w:p>
    <w:p>
      <w:pPr>
        <w:keepNext w:val="0"/>
        <w:keepLines w:val="0"/>
        <w:pageBreakBefore w:val="0"/>
        <w:numPr>
          <w:ilvl w:val="0"/>
          <w:numId w:val="0"/>
        </w:numPr>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管网维护参考《城镇排水管道维护安全技术规程》（CJJ 6-2009 ）、《城镇供水管网运行、维护及安全技术规程》（CJJ 207-2013）及《市政消防给水设施维护管理》（GB/T 36122-2018 ）执行执行。</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2</w:t>
      </w:r>
      <w:r>
        <w:rPr>
          <w:rFonts w:hint="default" w:ascii="Times New Roman" w:hAnsi="Times New Roman" w:cs="Times New Roman" w:eastAsiaTheme="minorEastAsia"/>
          <w:b w:val="0"/>
          <w:bCs/>
          <w:color w:val="auto"/>
          <w:sz w:val="24"/>
          <w:szCs w:val="24"/>
        </w:rPr>
        <w:t>、本工程施工应严格遵循现行有关施工验收规范和技术规程办理。工程中间验收和竣工验收必须严格按照国家及重庆市工程管理相关法规、规定程序进行。</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3</w:t>
      </w:r>
      <w:r>
        <w:rPr>
          <w:rFonts w:hint="default" w:ascii="Times New Roman" w:hAnsi="Times New Roman" w:cs="Times New Roman" w:eastAsiaTheme="minorEastAsia"/>
          <w:b w:val="0"/>
          <w:bCs/>
          <w:color w:val="auto"/>
          <w:sz w:val="24"/>
          <w:szCs w:val="24"/>
        </w:rPr>
        <w:t>、图中标注的雨、污水管线长度均为理论平面长度，施工时应以实测为准。</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4</w:t>
      </w:r>
      <w:r>
        <w:rPr>
          <w:rFonts w:hint="default" w:ascii="Times New Roman" w:hAnsi="Times New Roman" w:cs="Times New Roman" w:eastAsiaTheme="minorEastAsia"/>
          <w:b w:val="0"/>
          <w:bCs/>
          <w:color w:val="auto"/>
          <w:sz w:val="24"/>
          <w:szCs w:val="24"/>
        </w:rPr>
        <w:t>、排水构筑物及沟道其迎水面应扁光，混凝土及钢筋混凝土构筑物必须浇筑密实，不得出现蜂窝、麻面。</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5</w:t>
      </w:r>
      <w:r>
        <w:rPr>
          <w:rFonts w:hint="default" w:ascii="Times New Roman" w:hAnsi="Times New Roman" w:cs="Times New Roman" w:eastAsiaTheme="minorEastAsia"/>
          <w:b w:val="0"/>
          <w:bCs/>
          <w:color w:val="auto"/>
          <w:sz w:val="24"/>
          <w:szCs w:val="24"/>
        </w:rPr>
        <w:t>、管道交叉处应严格按照先下后上的原则，下部管道两侧及顶部用M10水泥砂浆砌片石（或C20混凝土）至上部管道基底面后再安装上部管道。上部管顶覆土较浅时应采取补强措施，具体的处理意见及加固方法应共同协商。</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6</w:t>
      </w:r>
      <w:r>
        <w:rPr>
          <w:rFonts w:hint="default" w:ascii="Times New Roman" w:hAnsi="Times New Roman" w:cs="Times New Roman" w:eastAsiaTheme="minorEastAsia"/>
          <w:b w:val="0"/>
          <w:bCs/>
          <w:color w:val="auto"/>
          <w:sz w:val="24"/>
          <w:szCs w:val="24"/>
        </w:rPr>
        <w:t>、施工前应先复核已建各种管道的断面、高程和位置，确保满足上下游管渠接入条件后方可施工。若开挖中发现图中未示意的排水管道，应通知业主和监理，并联系设计人员共同解决。</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7</w:t>
      </w:r>
      <w:r>
        <w:rPr>
          <w:rFonts w:hint="default" w:ascii="Times New Roman" w:hAnsi="Times New Roman" w:cs="Times New Roman" w:eastAsiaTheme="minorEastAsia"/>
          <w:b w:val="0"/>
          <w:bCs/>
          <w:color w:val="auto"/>
          <w:sz w:val="24"/>
          <w:szCs w:val="24"/>
        </w:rPr>
        <w:t>、检查井面标高应根据实际路面标高合理调整，保持与完成后路面齐平。当井面实际标高与设计标高有较大出入时，应及时通知设计人员进行处理。</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8</w:t>
      </w:r>
      <w:r>
        <w:rPr>
          <w:rFonts w:hint="default" w:ascii="Times New Roman" w:hAnsi="Times New Roman" w:cs="Times New Roman" w:eastAsiaTheme="minorEastAsia"/>
          <w:b w:val="0"/>
          <w:bCs/>
          <w:color w:val="auto"/>
          <w:sz w:val="24"/>
          <w:szCs w:val="24"/>
        </w:rPr>
        <w:t>、预留支管应尽量设预留检查井。当无条件设置预留检查井时，预留管管端应采用砖块封堵，并作好隐蔽记录，以利起用。</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1</w:t>
      </w:r>
      <w:r>
        <w:rPr>
          <w:rFonts w:hint="eastAsia" w:cs="Times New Roman" w:eastAsiaTheme="minorEastAsia"/>
          <w:b w:val="0"/>
          <w:bCs/>
          <w:color w:val="auto"/>
          <w:sz w:val="24"/>
          <w:szCs w:val="24"/>
          <w:lang w:val="en-US" w:eastAsia="zh-CN"/>
        </w:rPr>
        <w:t>9</w:t>
      </w:r>
      <w:r>
        <w:rPr>
          <w:rFonts w:hint="default" w:ascii="Times New Roman" w:hAnsi="Times New Roman" w:cs="Times New Roman" w:eastAsiaTheme="minorEastAsia"/>
          <w:b w:val="0"/>
          <w:bCs/>
          <w:color w:val="auto"/>
          <w:sz w:val="24"/>
          <w:szCs w:val="24"/>
        </w:rPr>
        <w:t>、排水管道施工过程中需与其它综合管线施工密切配合，确保所有管线平面和竖向布置合理。</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eastAsia" w:cs="Times New Roman" w:eastAsiaTheme="minorEastAsia"/>
          <w:b w:val="0"/>
          <w:bCs/>
          <w:color w:val="auto"/>
          <w:sz w:val="24"/>
          <w:szCs w:val="24"/>
          <w:lang w:val="en-US" w:eastAsia="zh-CN"/>
        </w:rPr>
        <w:t>20</w:t>
      </w:r>
      <w:r>
        <w:rPr>
          <w:rFonts w:hint="default" w:ascii="Times New Roman" w:hAnsi="Times New Roman" w:cs="Times New Roman" w:eastAsiaTheme="minorEastAsia"/>
          <w:b w:val="0"/>
          <w:bCs/>
          <w:color w:val="auto"/>
          <w:sz w:val="24"/>
          <w:szCs w:val="24"/>
        </w:rPr>
        <w:t xml:space="preserve">、凡接入本工程的污水应在进行了预处理并达到城市污水综合排放标准后方可接入。 </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1</w:t>
      </w:r>
      <w:r>
        <w:rPr>
          <w:rFonts w:hint="default" w:ascii="Times New Roman" w:hAnsi="Times New Roman" w:cs="Times New Roman" w:eastAsiaTheme="minorEastAsia"/>
          <w:b w:val="0"/>
          <w:bCs/>
          <w:color w:val="auto"/>
          <w:sz w:val="24"/>
          <w:szCs w:val="24"/>
        </w:rPr>
        <w:t>、本工程的排水管道及过街管有多处与相邻建筑及其它管线关系紧密，施工时应加倍重视，切忌对相邻建筑及其它管线的安全造成影响。施工单位对因建设工程施工可能造成损害的毗邻建筑物、构筑物和地下管线等，应及时采取防护措施，保证其正常使用，并及时通知有关单位，进一步落实保护和处理措施。</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2</w:t>
      </w:r>
      <w:r>
        <w:rPr>
          <w:rFonts w:hint="default" w:ascii="Times New Roman" w:hAnsi="Times New Roman" w:cs="Times New Roman" w:eastAsiaTheme="minorEastAsia"/>
          <w:b w:val="0"/>
          <w:bCs/>
          <w:color w:val="auto"/>
          <w:sz w:val="24"/>
          <w:szCs w:val="24"/>
        </w:rPr>
        <w:t>、本工程由于综合管网较为复杂，涉及各相关专业主管部门多，因此在施工过程中难免出现各种复杂技术问题，施工单位应在出现具体施工难题时及时通知各相关单位共同研究解决，切忌野蛮施工。现场施工应结合所有管线施工图和路施图、结施图施工，若有不协调时，应通知设计单位和建设方现场研究解决。</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3</w:t>
      </w:r>
      <w:r>
        <w:rPr>
          <w:rFonts w:hint="default" w:ascii="Times New Roman" w:hAnsi="Times New Roman" w:cs="Times New Roman" w:eastAsiaTheme="minorEastAsia"/>
          <w:b w:val="0"/>
          <w:bCs/>
          <w:color w:val="auto"/>
          <w:sz w:val="24"/>
          <w:szCs w:val="24"/>
        </w:rPr>
        <w:t>、管廊在施工过程中，若开挖到其它管道,应采取相应的措施进行保护。</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4</w:t>
      </w:r>
      <w:r>
        <w:rPr>
          <w:rFonts w:hint="default" w:ascii="Times New Roman" w:hAnsi="Times New Roman" w:cs="Times New Roman" w:eastAsiaTheme="minorEastAsia"/>
          <w:b w:val="0"/>
          <w:bCs/>
          <w:color w:val="auto"/>
          <w:sz w:val="24"/>
          <w:szCs w:val="24"/>
        </w:rPr>
        <w:t xml:space="preserve">、土建施工时应特别注意施工场地及基坑排水。 </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5</w:t>
      </w:r>
      <w:r>
        <w:rPr>
          <w:rFonts w:hint="default" w:ascii="Times New Roman" w:hAnsi="Times New Roman" w:cs="Times New Roman" w:eastAsiaTheme="minorEastAsia"/>
          <w:b w:val="0"/>
          <w:bCs/>
          <w:color w:val="auto"/>
          <w:sz w:val="24"/>
          <w:szCs w:val="24"/>
        </w:rPr>
        <w:t>、施工时应特别注意安全，采取安全措施，杜绝安全事故的发生。</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6</w:t>
      </w:r>
      <w:r>
        <w:rPr>
          <w:rFonts w:hint="default" w:ascii="Times New Roman" w:hAnsi="Times New Roman" w:cs="Times New Roman" w:eastAsiaTheme="minorEastAsia"/>
          <w:b w:val="0"/>
          <w:bCs/>
          <w:color w:val="auto"/>
          <w:sz w:val="24"/>
          <w:szCs w:val="24"/>
        </w:rPr>
        <w:t xml:space="preserve">、施工单位应遵守有关环境保护法律、法规的规定。在城市市区内的建设工程，施工单位应当对施工现场实行封闭围挡，防止或减少粉尘、废气、废水、固体废物、噪声、振动和施工照明对人和环境的危害和污染。 </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7</w:t>
      </w:r>
      <w:r>
        <w:rPr>
          <w:rFonts w:hint="default" w:ascii="Times New Roman" w:hAnsi="Times New Roman" w:cs="Times New Roman" w:eastAsiaTheme="minorEastAsia"/>
          <w:b w:val="0"/>
          <w:bCs/>
          <w:color w:val="auto"/>
          <w:sz w:val="24"/>
          <w:szCs w:val="24"/>
        </w:rPr>
        <w:t>、施工单位在进行土石方工程时，应注意按规范要求进行合理支护、分层开挖。免槽壁失稳出现塌方，影响施工，甚至造成人身安全事故。</w:t>
      </w:r>
    </w:p>
    <w:p>
      <w:pPr>
        <w:keepNext w:val="0"/>
        <w:keepLines w:val="0"/>
        <w:pageBreakBefore w:val="0"/>
        <w:kinsoku/>
        <w:wordWrap/>
        <w:overflowPunct/>
        <w:topLinePunct w:val="0"/>
        <w:autoSpaceDE/>
        <w:autoSpaceDN/>
        <w:bidi w:val="0"/>
        <w:spacing w:line="360" w:lineRule="auto"/>
        <w:ind w:firstLine="615" w:firstLineChars="25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8</w:t>
      </w:r>
      <w:r>
        <w:rPr>
          <w:rFonts w:hint="default" w:ascii="Times New Roman" w:hAnsi="Times New Roman" w:cs="Times New Roman" w:eastAsiaTheme="minorEastAsia"/>
          <w:b w:val="0"/>
          <w:bCs/>
          <w:color w:val="auto"/>
          <w:sz w:val="24"/>
          <w:szCs w:val="24"/>
        </w:rPr>
        <w:t>、工程正式开工前，建设或施工单位应组织一次图纸技术交底。施工单位全面系统地熟悉图纸，如发现设计中的问题（包括各专业之间的错、漏、碰、缺），请及时通知我院会同解决。对施工问题的处理，应以书面签署盖章为准。</w:t>
      </w:r>
    </w:p>
    <w:p>
      <w:pPr>
        <w:keepNext w:val="0"/>
        <w:keepLines w:val="0"/>
        <w:pageBreakBefore w:val="0"/>
        <w:numPr>
          <w:ilvl w:val="0"/>
          <w:numId w:val="0"/>
        </w:numPr>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2</w:t>
      </w:r>
      <w:r>
        <w:rPr>
          <w:rFonts w:hint="eastAsia" w:cs="Times New Roman" w:eastAsiaTheme="minorEastAsia"/>
          <w:b w:val="0"/>
          <w:bCs/>
          <w:color w:val="auto"/>
          <w:sz w:val="24"/>
          <w:szCs w:val="24"/>
          <w:lang w:val="en-US" w:eastAsia="zh-CN"/>
        </w:rPr>
        <w:t>9</w:t>
      </w:r>
      <w:r>
        <w:rPr>
          <w:rFonts w:hint="default" w:ascii="Times New Roman" w:hAnsi="Times New Roman" w:cs="Times New Roman" w:eastAsiaTheme="minorEastAsia"/>
          <w:b w:val="0"/>
          <w:bCs/>
          <w:color w:val="auto"/>
          <w:sz w:val="24"/>
          <w:szCs w:val="24"/>
          <w:lang w:val="en-US" w:eastAsia="zh-CN"/>
        </w:rPr>
        <w:t>、雨水口处需要设置沉塘（约低于路面3~5mm），收水口及支管排水流畅，防止出现阻水现场。</w:t>
      </w:r>
    </w:p>
    <w:p>
      <w:pPr>
        <w:keepNext w:val="0"/>
        <w:keepLines w:val="0"/>
        <w:pageBreakBefore w:val="0"/>
        <w:numPr>
          <w:ilvl w:val="0"/>
          <w:numId w:val="0"/>
        </w:numPr>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eastAsia" w:cs="Times New Roman" w:eastAsiaTheme="minorEastAsia"/>
          <w:b w:val="0"/>
          <w:bCs/>
          <w:color w:val="auto"/>
          <w:sz w:val="24"/>
          <w:szCs w:val="24"/>
          <w:lang w:val="en-US" w:eastAsia="zh-CN"/>
        </w:rPr>
        <w:t>30</w:t>
      </w:r>
      <w:r>
        <w:rPr>
          <w:rFonts w:hint="default" w:ascii="Times New Roman" w:hAnsi="Times New Roman" w:cs="Times New Roman" w:eastAsiaTheme="minorEastAsia"/>
          <w:b w:val="0"/>
          <w:bCs/>
          <w:color w:val="auto"/>
          <w:sz w:val="24"/>
          <w:szCs w:val="24"/>
          <w:lang w:val="en-US" w:eastAsia="zh-CN"/>
        </w:rPr>
        <w:t>、综合管道施工前报有关部门审批后方可实施。</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rPr>
      </w:pPr>
      <w:r>
        <w:rPr>
          <w:rFonts w:hint="default" w:ascii="Times New Roman" w:hAnsi="Times New Roman" w:cs="Times New Roman" w:eastAsiaTheme="minorEastAsia"/>
          <w:b w:val="0"/>
          <w:bCs/>
          <w:color w:val="auto"/>
          <w:sz w:val="24"/>
          <w:szCs w:val="24"/>
          <w:lang w:val="en-US" w:eastAsia="zh-CN"/>
        </w:rPr>
        <w:t>3</w:t>
      </w:r>
      <w:r>
        <w:rPr>
          <w:rFonts w:hint="eastAsia" w:cs="Times New Roman" w:eastAsiaTheme="minorEastAsia"/>
          <w:b w:val="0"/>
          <w:bCs/>
          <w:color w:val="auto"/>
          <w:sz w:val="24"/>
          <w:szCs w:val="24"/>
          <w:lang w:val="en-US" w:eastAsia="zh-CN"/>
        </w:rPr>
        <w:t>1</w:t>
      </w:r>
      <w:r>
        <w:rPr>
          <w:rFonts w:hint="default" w:ascii="Times New Roman" w:hAnsi="Times New Roman" w:cs="Times New Roman" w:eastAsiaTheme="minorEastAsia"/>
          <w:b w:val="0"/>
          <w:bCs/>
          <w:color w:val="auto"/>
          <w:sz w:val="24"/>
          <w:szCs w:val="24"/>
        </w:rPr>
        <w:t>、其余未尽事宜按国家现行规范和标准执行。</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3</w:t>
      </w:r>
      <w:r>
        <w:rPr>
          <w:rFonts w:hint="eastAsia" w:cs="Times New Roman" w:eastAsiaTheme="minorEastAsia"/>
          <w:b w:val="0"/>
          <w:bCs/>
          <w:color w:val="auto"/>
          <w:sz w:val="24"/>
          <w:szCs w:val="24"/>
          <w:lang w:val="en-US" w:eastAsia="zh-CN"/>
        </w:rPr>
        <w:t>2</w:t>
      </w:r>
      <w:r>
        <w:rPr>
          <w:rFonts w:hint="default" w:ascii="Times New Roman" w:hAnsi="Times New Roman" w:cs="Times New Roman" w:eastAsiaTheme="minorEastAsia"/>
          <w:b w:val="0"/>
          <w:bCs/>
          <w:color w:val="auto"/>
          <w:sz w:val="24"/>
          <w:szCs w:val="24"/>
          <w:lang w:val="en-US" w:eastAsia="zh-CN"/>
        </w:rPr>
        <w:t>、其他针对于道路低洼点排水不畅的相关措施。1）下游排水主通道未形成前，道路禁止通车，保证行车安全。2）在道路低洼点，设置积水检测装置。同时在上游路口设置相关信息标识，若发生积水，可提醒驾乘人员避免前往积水路段。3）业主应加强，道路排水设施巡查及清掏工作，避免汛期道路积水。</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3</w:t>
      </w:r>
      <w:r>
        <w:rPr>
          <w:rFonts w:hint="eastAsia" w:cs="Times New Roman" w:eastAsiaTheme="minorEastAsia"/>
          <w:b w:val="0"/>
          <w:bCs/>
          <w:color w:val="auto"/>
          <w:sz w:val="24"/>
          <w:szCs w:val="24"/>
          <w:lang w:val="en-US" w:eastAsia="zh-CN"/>
        </w:rPr>
        <w:t>3</w:t>
      </w:r>
      <w:r>
        <w:rPr>
          <w:rFonts w:hint="default" w:ascii="Times New Roman" w:hAnsi="Times New Roman" w:cs="Times New Roman" w:eastAsiaTheme="minorEastAsia"/>
          <w:b w:val="0"/>
          <w:bCs/>
          <w:color w:val="auto"/>
          <w:sz w:val="24"/>
          <w:szCs w:val="24"/>
          <w:lang w:val="en-US" w:eastAsia="zh-CN"/>
        </w:rPr>
        <w:t>、排水管道质量建设管理要求</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1）高度重视排水管网工程建设质量管理工作。</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务必要高度重视，充分认识排水管网工程质量对城市水环境质量提升的重要性，创新机制，形成合力，加强监管，从严执法。</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2）进一步强化工程质量五方责任制。</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排水管网工程实行质量终身负责制。建设单位、勘察单位、设计单位、施工单位、监理单位依法对城市排水管网工程质量负责。</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3）进一步加强排水管网工程质量全过程管理。</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严格履行基本建设程序，加强施工图设计审查，加强排水管材进场检验，加强排水管网施工质量，强化排水管网竣工验收。</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4）建立健全排水管材质量抽检制度。</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建设单位应当委托专业检测机构（承担见证取样检测的机构除外），在排水管材安装后、覆土前，采用随机方式进行覆土前抽检。抽检比例应不少于两个生产批次或进场批次（当工程只有一个生产批次或进场批次时，可按一个批次进行抽检）。抽检结果应当书面报告建设工程质量监督机构，由建设工程质量监督机构汇总并报送当地住房城乡建设主管部门。</w:t>
      </w:r>
      <w:r>
        <w:rPr>
          <w:rFonts w:hint="default" w:ascii="Times New Roman" w:hAnsi="Times New Roman" w:cs="Times New Roman" w:eastAsiaTheme="minorEastAsia"/>
          <w:b w:val="0"/>
          <w:bCs/>
          <w:color w:val="auto"/>
          <w:sz w:val="24"/>
          <w:szCs w:val="24"/>
          <w:lang w:val="en-US" w:eastAsia="zh-CN"/>
        </w:rPr>
        <w:br w:type="textWrapping"/>
      </w:r>
      <w:r>
        <w:rPr>
          <w:rFonts w:hint="default" w:ascii="Times New Roman" w:hAnsi="Times New Roman" w:cs="Times New Roman" w:eastAsiaTheme="minorEastAsia"/>
          <w:b w:val="0"/>
          <w:bCs/>
          <w:color w:val="auto"/>
          <w:sz w:val="24"/>
          <w:szCs w:val="24"/>
          <w:lang w:val="en-US" w:eastAsia="zh-CN"/>
        </w:rPr>
        <w:t>　　覆土前抽检质量不合格的，建设单位应当责令施工单位停止使用并拆除已安装排水管材；同时，将该批次排水管材全部退场，并做好退场记录。</w:t>
      </w:r>
      <w:r>
        <w:rPr>
          <w:rFonts w:hint="default" w:ascii="Times New Roman" w:hAnsi="Times New Roman" w:cs="Times New Roman" w:eastAsiaTheme="minorEastAsia"/>
          <w:b w:val="0"/>
          <w:bCs/>
          <w:color w:val="auto"/>
          <w:sz w:val="24"/>
          <w:szCs w:val="24"/>
          <w:lang w:val="en-US" w:eastAsia="zh-CN"/>
        </w:rPr>
        <w:br w:type="textWrapping"/>
      </w:r>
      <w:r>
        <w:rPr>
          <w:rFonts w:hint="default" w:ascii="Times New Roman" w:hAnsi="Times New Roman" w:cs="Times New Roman" w:eastAsiaTheme="minorEastAsia"/>
          <w:b w:val="0"/>
          <w:bCs/>
          <w:color w:val="auto"/>
          <w:sz w:val="24"/>
          <w:szCs w:val="24"/>
          <w:lang w:val="en-US" w:eastAsia="zh-CN"/>
        </w:rPr>
        <w:t>　5）建立健全排水管网内窥检测制度。</w:t>
      </w:r>
    </w:p>
    <w:p>
      <w:pPr>
        <w:keepNext w:val="0"/>
        <w:keepLines w:val="0"/>
        <w:pageBreakBefore w:val="0"/>
        <w:kinsoku/>
        <w:wordWrap/>
        <w:overflowPunct/>
        <w:topLinePunct w:val="0"/>
        <w:autoSpaceDE/>
        <w:autoSpaceDN/>
        <w:bidi w:val="0"/>
        <w:spacing w:line="360" w:lineRule="auto"/>
        <w:ind w:firstLine="738" w:firstLineChars="300"/>
        <w:textAlignment w:val="auto"/>
        <w:outlineLvl w:val="9"/>
        <w:rPr>
          <w:rFonts w:hint="default" w:ascii="Times New Roman" w:hAnsi="Times New Roman" w:cs="Times New Roman" w:eastAsiaTheme="minorEastAsia"/>
          <w:b w:val="0"/>
          <w:bCs/>
          <w:color w:val="auto"/>
          <w:sz w:val="24"/>
          <w:szCs w:val="24"/>
          <w:lang w:val="en-US" w:eastAsia="zh-CN"/>
        </w:rPr>
      </w:pPr>
      <w:r>
        <w:rPr>
          <w:rFonts w:hint="default" w:ascii="Times New Roman" w:hAnsi="Times New Roman" w:cs="Times New Roman" w:eastAsiaTheme="minorEastAsia"/>
          <w:b w:val="0"/>
          <w:bCs/>
          <w:color w:val="auto"/>
          <w:sz w:val="24"/>
          <w:szCs w:val="24"/>
          <w:lang w:val="en-US" w:eastAsia="zh-CN"/>
        </w:rPr>
        <w:t>建设单位应当委托专业检测机构，在排水管网工程覆土达到场地设计标高后、竣工验收前，按照《城镇排水管道检测与评估技术规程》有关规定，对排水管网进行内窥检测。内窥检测不合格的，建设单位应当组织相关单位进行整改。</w:t>
      </w:r>
    </w:p>
    <w:p>
      <w:pPr>
        <w:pStyle w:val="2"/>
        <w:keepNext w:val="0"/>
        <w:keepLines w:val="0"/>
        <w:pageBreakBefore w:val="0"/>
        <w:widowControl w:val="0"/>
        <w:kinsoku/>
        <w:wordWrap/>
        <w:overflowPunct/>
        <w:topLinePunct w:val="0"/>
        <w:autoSpaceDE/>
        <w:autoSpaceDN/>
        <w:bidi w:val="0"/>
        <w:adjustRightInd/>
        <w:snapToGrid/>
        <w:spacing w:line="360" w:lineRule="auto"/>
        <w:ind w:firstLine="492" w:firstLineChars="200"/>
        <w:textAlignment w:val="auto"/>
        <w:outlineLvl w:val="9"/>
        <w:rPr>
          <w:rFonts w:hint="eastAsia" w:ascii="Times New Roman" w:hAnsi="Times New Roman" w:cs="Times New Roman" w:eastAsiaTheme="minorEastAsia"/>
          <w:b w:val="0"/>
          <w:bCs/>
          <w:color w:val="auto"/>
          <w:kern w:val="2"/>
          <w:sz w:val="24"/>
          <w:szCs w:val="24"/>
          <w:lang w:val="en-US" w:eastAsia="zh-CN" w:bidi="ar-SA"/>
        </w:rPr>
      </w:pPr>
      <w:r>
        <w:rPr>
          <w:rFonts w:hint="eastAsia" w:cs="Times New Roman" w:eastAsiaTheme="minorEastAsia"/>
          <w:b w:val="0"/>
          <w:bCs/>
          <w:color w:val="auto"/>
          <w:sz w:val="24"/>
          <w:szCs w:val="24"/>
          <w:lang w:val="en-US" w:eastAsia="zh-CN"/>
        </w:rPr>
        <w:t>3</w:t>
      </w:r>
      <w:r>
        <w:rPr>
          <w:rFonts w:hint="eastAsia" w:ascii="Times New Roman" w:hAnsi="Times New Roman" w:cs="Times New Roman" w:eastAsiaTheme="minorEastAsia"/>
          <w:b w:val="0"/>
          <w:bCs/>
          <w:color w:val="auto"/>
          <w:kern w:val="2"/>
          <w:sz w:val="24"/>
          <w:szCs w:val="24"/>
          <w:lang w:val="en-US" w:eastAsia="zh-CN" w:bidi="ar-SA"/>
        </w:rPr>
        <w:t>4、根据“渝府办【2019】4号文件"和“渝建【2019】434号文件”的要求，主城区政府投融资项目使用建筑垃圾资源化再生产品替代用量应不少于30%。按照创新、协调、绿色、开放、共享的发展理念，通过加强政策扶持、项目示范和引导全社会参与建筑垃圾资源化利用等措施，探索推进布局合理、管理规范、绿色环保、技术先进的建筑垃圾资源化利用处置体系建设，到2020年底前主城区政府投融资建设项目使用建筑垃圾资源化再生产品替代用量应不少于30%，建筑垃圾减量化、无害化、资源化处理得到有效推进。</w:t>
      </w:r>
    </w:p>
    <w:p>
      <w:pPr>
        <w:pStyle w:val="2"/>
        <w:keepNext w:val="0"/>
        <w:keepLines w:val="0"/>
        <w:pageBreakBefore w:val="0"/>
        <w:widowControl w:val="0"/>
        <w:kinsoku/>
        <w:wordWrap/>
        <w:overflowPunct/>
        <w:topLinePunct w:val="0"/>
        <w:autoSpaceDE/>
        <w:autoSpaceDN/>
        <w:bidi w:val="0"/>
        <w:adjustRightInd/>
        <w:snapToGrid/>
        <w:spacing w:line="360" w:lineRule="auto"/>
        <w:ind w:firstLine="492" w:firstLineChars="200"/>
        <w:textAlignment w:val="auto"/>
        <w:outlineLvl w:val="9"/>
        <w:rPr>
          <w:rFonts w:hint="eastAsia" w:ascii="Times New Roman" w:hAnsi="Times New Roman" w:cs="Times New Roman" w:eastAsiaTheme="minorEastAsia"/>
          <w:b w:val="0"/>
          <w:bCs/>
          <w:color w:val="auto"/>
          <w:kern w:val="2"/>
          <w:sz w:val="24"/>
          <w:szCs w:val="24"/>
          <w:lang w:val="en-US" w:eastAsia="zh-CN" w:bidi="ar-SA"/>
        </w:rPr>
      </w:pPr>
      <w:r>
        <w:rPr>
          <w:rFonts w:hint="eastAsia" w:ascii="Times New Roman" w:hAnsi="Times New Roman" w:cs="Times New Roman" w:eastAsiaTheme="minorEastAsia"/>
          <w:b w:val="0"/>
          <w:bCs/>
          <w:color w:val="auto"/>
          <w:kern w:val="2"/>
          <w:sz w:val="24"/>
          <w:szCs w:val="24"/>
          <w:lang w:val="en-US" w:eastAsia="zh-CN" w:bidi="ar-SA"/>
        </w:rPr>
        <w:t>35、道路无障碍要求：当无障碍通道上有井盖、箅子时，井盖、箅子孔洞的宽度或直径不应大于 13mm，条状孔洞应垂直于通行方向；缘石坡道上下坡处不应设置雨水算子；</w:t>
      </w:r>
    </w:p>
    <w:p>
      <w:pPr>
        <w:pStyle w:val="2"/>
        <w:keepNext w:val="0"/>
        <w:keepLines w:val="0"/>
        <w:pageBreakBefore w:val="0"/>
        <w:widowControl w:val="0"/>
        <w:kinsoku/>
        <w:wordWrap/>
        <w:overflowPunct/>
        <w:topLinePunct w:val="0"/>
        <w:autoSpaceDE/>
        <w:autoSpaceDN/>
        <w:bidi w:val="0"/>
        <w:adjustRightInd/>
        <w:snapToGrid/>
        <w:spacing w:line="360" w:lineRule="auto"/>
        <w:ind w:firstLine="492" w:firstLineChars="200"/>
        <w:textAlignment w:val="auto"/>
        <w:outlineLvl w:val="9"/>
        <w:rPr>
          <w:rFonts w:hint="eastAsia" w:ascii="Times New Roman" w:hAnsi="Times New Roman" w:cs="Times New Roman" w:eastAsiaTheme="minorEastAsia"/>
          <w:b w:val="0"/>
          <w:bCs/>
          <w:color w:val="auto"/>
          <w:kern w:val="2"/>
          <w:sz w:val="24"/>
          <w:szCs w:val="24"/>
          <w:lang w:val="en-US" w:eastAsia="zh-CN" w:bidi="ar-SA"/>
        </w:rPr>
      </w:pPr>
      <w:r>
        <w:rPr>
          <w:rFonts w:hint="eastAsia" w:ascii="Times New Roman" w:hAnsi="Times New Roman" w:cs="Times New Roman" w:eastAsiaTheme="minorEastAsia"/>
          <w:b w:val="0"/>
          <w:bCs/>
          <w:color w:val="auto"/>
          <w:kern w:val="2"/>
          <w:sz w:val="24"/>
          <w:szCs w:val="24"/>
          <w:lang w:val="en-US" w:eastAsia="zh-CN" w:bidi="ar-SA"/>
        </w:rPr>
        <w:t>36、排水管道管道与植物间距应满足，室外排水设计标准（GB50014-2021） 附录C要求；</w:t>
      </w:r>
      <w:r>
        <w:rPr>
          <w:rFonts w:hint="eastAsia" w:cs="Times New Roman" w:eastAsiaTheme="minorEastAsia"/>
          <w:b w:val="0"/>
          <w:bCs/>
          <w:color w:val="auto"/>
          <w:kern w:val="2"/>
          <w:sz w:val="24"/>
          <w:szCs w:val="24"/>
          <w:lang w:val="en-US" w:eastAsia="zh-CN" w:bidi="ar-SA"/>
        </w:rPr>
        <w:t>行道树种植时应满足相关距离要求。</w:t>
      </w:r>
    </w:p>
    <w:p>
      <w:pPr>
        <w:pStyle w:val="2"/>
        <w:keepNext w:val="0"/>
        <w:keepLines w:val="0"/>
        <w:pageBreakBefore w:val="0"/>
        <w:widowControl w:val="0"/>
        <w:kinsoku/>
        <w:wordWrap/>
        <w:overflowPunct/>
        <w:topLinePunct w:val="0"/>
        <w:autoSpaceDE/>
        <w:autoSpaceDN/>
        <w:bidi w:val="0"/>
        <w:adjustRightInd/>
        <w:snapToGrid/>
        <w:spacing w:line="360" w:lineRule="auto"/>
        <w:ind w:firstLine="492" w:firstLineChars="200"/>
        <w:textAlignment w:val="auto"/>
        <w:outlineLvl w:val="9"/>
        <w:rPr>
          <w:rFonts w:hint="default" w:ascii="Times New Roman" w:hAnsi="Times New Roman" w:cs="Times New Roman" w:eastAsiaTheme="minorEastAsia"/>
          <w:b w:val="0"/>
          <w:bCs/>
          <w:color w:val="auto"/>
          <w:kern w:val="2"/>
          <w:sz w:val="24"/>
          <w:szCs w:val="24"/>
          <w:lang w:val="en-US" w:eastAsia="zh-CN" w:bidi="ar-SA"/>
        </w:rPr>
      </w:pPr>
      <w:r>
        <w:rPr>
          <w:rFonts w:hint="eastAsia" w:ascii="Times New Roman" w:hAnsi="Times New Roman" w:cs="Times New Roman" w:eastAsiaTheme="minorEastAsia"/>
          <w:b w:val="0"/>
          <w:bCs/>
          <w:color w:val="auto"/>
          <w:kern w:val="2"/>
          <w:sz w:val="24"/>
          <w:szCs w:val="24"/>
          <w:lang w:val="en-US" w:eastAsia="zh-CN" w:bidi="ar-SA"/>
        </w:rPr>
        <w:t>37、施工质量控制按《建筑与市政工程施工质量控制通用规范》GB55032-2022中有关条文执行；现场安全卫生与职业健康按《建筑与市政施工现场安全卫生与职业健康通用规范》GB55034-2022中有关条文执行；</w:t>
      </w:r>
      <w:r>
        <w:rPr>
          <w:rFonts w:hint="default" w:ascii="Times New Roman" w:hAnsi="Times New Roman" w:cs="Times New Roman" w:eastAsiaTheme="minorEastAsia"/>
          <w:b w:val="0"/>
          <w:bCs/>
          <w:color w:val="auto"/>
          <w:kern w:val="2"/>
          <w:sz w:val="24"/>
          <w:szCs w:val="24"/>
          <w:lang w:val="en-US" w:eastAsia="zh-CN" w:bidi="ar-SA"/>
        </w:rPr>
        <w:br w:type="textWrapping"/>
      </w:r>
      <w:r>
        <w:rPr>
          <w:rFonts w:hint="default" w:ascii="Times New Roman" w:hAnsi="Times New Roman" w:cs="Times New Roman" w:eastAsiaTheme="minorEastAsia"/>
          <w:b w:val="0"/>
          <w:bCs/>
          <w:color w:val="auto"/>
          <w:kern w:val="2"/>
          <w:sz w:val="24"/>
          <w:szCs w:val="24"/>
          <w:lang w:val="en-US" w:eastAsia="zh-CN" w:bidi="ar-SA"/>
        </w:rPr>
        <w:t>排水管道维护管理 严格按照 CJJ 6-2006 《城市排水管道维护安全技术规程》、GB 55027-2022《城市排水工程项目规范》中有关安全条文执行；工程中采用的各种材料、组件和设备等应为符合国家现行有关标准和准入制度要求的产品；给排水系统施工必须由具有相应等级资质的施工队伍承担；系统竣工后，必须进行工程验收，验收应由建设单位组织质检、设计、施工、监理参加，验收不合格不应投入使用；</w:t>
      </w:r>
    </w:p>
    <w:p>
      <w:pPr>
        <w:pStyle w:val="2"/>
        <w:keepNext w:val="0"/>
        <w:keepLines w:val="0"/>
        <w:pageBreakBefore w:val="0"/>
        <w:widowControl w:val="0"/>
        <w:kinsoku/>
        <w:wordWrap/>
        <w:overflowPunct/>
        <w:topLinePunct w:val="0"/>
        <w:autoSpaceDE/>
        <w:autoSpaceDN/>
        <w:bidi w:val="0"/>
        <w:adjustRightInd/>
        <w:snapToGrid/>
        <w:spacing w:line="360" w:lineRule="auto"/>
        <w:ind w:firstLine="492" w:firstLineChars="200"/>
        <w:textAlignment w:val="auto"/>
        <w:outlineLvl w:val="9"/>
        <w:rPr>
          <w:rFonts w:hint="eastAsia"/>
          <w:color w:val="auto"/>
          <w:lang w:val="en-US" w:eastAsia="zh-CN"/>
        </w:rPr>
      </w:pPr>
      <w:r>
        <w:rPr>
          <w:rFonts w:hint="eastAsia" w:cs="Times New Roman" w:eastAsiaTheme="minorEastAsia"/>
          <w:b w:val="0"/>
          <w:bCs/>
          <w:color w:val="auto"/>
          <w:kern w:val="2"/>
          <w:sz w:val="24"/>
          <w:szCs w:val="24"/>
          <w:lang w:val="en-US" w:eastAsia="zh-CN" w:bidi="ar-SA"/>
        </w:rPr>
        <w:t>38、</w:t>
      </w:r>
      <w:r>
        <w:rPr>
          <w:rFonts w:hint="default" w:ascii="Times New Roman" w:hAnsi="Times New Roman" w:cs="Times New Roman" w:eastAsiaTheme="minorEastAsia"/>
          <w:b w:val="0"/>
          <w:bCs/>
          <w:color w:val="auto"/>
          <w:kern w:val="2"/>
          <w:sz w:val="24"/>
          <w:szCs w:val="24"/>
          <w:lang w:val="en-US" w:eastAsia="zh-CN" w:bidi="ar-SA"/>
        </w:rPr>
        <w:t>根据《重庆市住房和城乡建设委员会关于进一步加强城镇排水与污水处理领域有限空间作业安全管理工作的通知》，对现状检查井、化粪池、现状箱涵等有限空间作业中，可能造成伤害的气体毒气、缺氧窒息、物质爆炸、高温中暑等有限空间作业情况，应全面识别和分析危险源，并严格按照应急管理部办公厅印发的《有限空间作业安全指导手册》和4个专题系列折页的通知》（应急厅函〔2020〕299号）要求，做好有限空间作业的风险防控与应急救援的相关措施；</w:t>
      </w:r>
    </w:p>
    <w:p>
      <w:pPr>
        <w:pStyle w:val="4"/>
        <w:rPr>
          <w:rFonts w:hint="eastAsia"/>
          <w:color w:val="auto"/>
          <w:lang w:val="en-US" w:eastAsia="zh-CN"/>
        </w:rPr>
      </w:pPr>
      <w:r>
        <w:rPr>
          <w:rFonts w:hint="eastAsia"/>
          <w:color w:val="auto"/>
          <w:lang w:val="en-US" w:eastAsia="zh-CN"/>
        </w:rPr>
        <w:t>附表1 主要工程量表</w:t>
      </w:r>
    </w:p>
    <w:tbl>
      <w:tblPr>
        <w:tblStyle w:val="24"/>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74"/>
        <w:gridCol w:w="3375"/>
        <w:gridCol w:w="659"/>
        <w:gridCol w:w="1124"/>
        <w:gridCol w:w="3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6"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序号</w:t>
            </w:r>
          </w:p>
        </w:tc>
        <w:tc>
          <w:tcPr>
            <w:tcW w:w="3375"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名称</w:t>
            </w:r>
          </w:p>
        </w:tc>
        <w:tc>
          <w:tcPr>
            <w:tcW w:w="659"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单位</w:t>
            </w:r>
          </w:p>
        </w:tc>
        <w:tc>
          <w:tcPr>
            <w:tcW w:w="1124"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工程数量</w:t>
            </w:r>
          </w:p>
        </w:tc>
        <w:tc>
          <w:tcPr>
            <w:tcW w:w="3750"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p>
        </w:tc>
        <w:tc>
          <w:tcPr>
            <w:tcW w:w="89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雨水工程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雨水检查井</w:t>
            </w:r>
          </w:p>
        </w:tc>
        <w:tc>
          <w:tcPr>
            <w:tcW w:w="659"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座</w:t>
            </w:r>
          </w:p>
        </w:tc>
        <w:tc>
          <w:tcPr>
            <w:tcW w:w="1124"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6</w:t>
            </w:r>
          </w:p>
        </w:tc>
        <w:tc>
          <w:tcPr>
            <w:tcW w:w="3750"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详见图集渝22TS02/2-31-84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2</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雨水沉砂井</w:t>
            </w:r>
          </w:p>
        </w:tc>
        <w:tc>
          <w:tcPr>
            <w:tcW w:w="659"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座</w:t>
            </w:r>
          </w:p>
        </w:tc>
        <w:tc>
          <w:tcPr>
            <w:tcW w:w="1124"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w:t>
            </w:r>
          </w:p>
        </w:tc>
        <w:tc>
          <w:tcPr>
            <w:tcW w:w="3750"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预留支管处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3</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高密度聚乙烯（HDPE）热态缠绕结构壁B型管（克拉管）d400</w:t>
            </w:r>
          </w:p>
        </w:tc>
        <w:tc>
          <w:tcPr>
            <w:tcW w:w="659"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m</w:t>
            </w:r>
          </w:p>
        </w:tc>
        <w:tc>
          <w:tcPr>
            <w:tcW w:w="1124"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50</w:t>
            </w:r>
          </w:p>
        </w:tc>
        <w:tc>
          <w:tcPr>
            <w:tcW w:w="3750"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SN8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4</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高密度聚乙烯（HDPE）热态缠绕结构壁B型管（克拉管）d500</w:t>
            </w:r>
          </w:p>
        </w:tc>
        <w:tc>
          <w:tcPr>
            <w:tcW w:w="659"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m</w:t>
            </w:r>
          </w:p>
        </w:tc>
        <w:tc>
          <w:tcPr>
            <w:tcW w:w="1124"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90</w:t>
            </w:r>
          </w:p>
        </w:tc>
        <w:tc>
          <w:tcPr>
            <w:tcW w:w="3750"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SN8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5</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双篦雨水口</w:t>
            </w:r>
          </w:p>
        </w:tc>
        <w:tc>
          <w:tcPr>
            <w:tcW w:w="659"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个</w:t>
            </w:r>
          </w:p>
        </w:tc>
        <w:tc>
          <w:tcPr>
            <w:tcW w:w="1124"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6</w:t>
            </w:r>
          </w:p>
        </w:tc>
        <w:tc>
          <w:tcPr>
            <w:tcW w:w="3750"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渝22TS02第5-05双篦雨水口并加固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6</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雨水口联络管d300</w:t>
            </w:r>
          </w:p>
        </w:tc>
        <w:tc>
          <w:tcPr>
            <w:tcW w:w="659"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m</w:t>
            </w:r>
          </w:p>
        </w:tc>
        <w:tc>
          <w:tcPr>
            <w:tcW w:w="1124"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25</w:t>
            </w:r>
          </w:p>
        </w:tc>
        <w:tc>
          <w:tcPr>
            <w:tcW w:w="3750"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钢筋混凝土III级，满包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7</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挖方</w:t>
            </w:r>
          </w:p>
        </w:tc>
        <w:tc>
          <w:tcPr>
            <w:tcW w:w="659"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立方</w:t>
            </w:r>
          </w:p>
        </w:tc>
        <w:tc>
          <w:tcPr>
            <w:tcW w:w="1124"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1661</w:t>
            </w:r>
          </w:p>
        </w:tc>
        <w:tc>
          <w:tcPr>
            <w:tcW w:w="3750"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土石比暂定3：7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8</w:t>
            </w:r>
          </w:p>
        </w:tc>
        <w:tc>
          <w:tcPr>
            <w:tcW w:w="3375" w:type="dxa"/>
            <w:tcBorders>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填方</w:t>
            </w:r>
          </w:p>
        </w:tc>
        <w:tc>
          <w:tcPr>
            <w:tcW w:w="659" w:type="dxa"/>
            <w:tcBorders>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立方</w:t>
            </w:r>
          </w:p>
        </w:tc>
        <w:tc>
          <w:tcPr>
            <w:tcW w:w="1124" w:type="dxa"/>
            <w:tcBorders>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1599</w:t>
            </w:r>
          </w:p>
        </w:tc>
        <w:tc>
          <w:tcPr>
            <w:tcW w:w="3750" w:type="dxa"/>
            <w:tcBorders>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土石比暂定3：7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p>
        </w:tc>
        <w:tc>
          <w:tcPr>
            <w:tcW w:w="89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污水工程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污水检查井</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座</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5</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渝22TS02/2-31/d400</w:t>
            </w:r>
            <w:r>
              <w:rPr>
                <w:rFonts w:hint="eastAsia" w:ascii="仿宋_GB2312" w:hAnsi="宋体" w:eastAsia="仿宋_GB2312" w:cs="仿宋_GB2312"/>
                <w:i w:val="0"/>
                <w:color w:val="auto"/>
                <w:kern w:val="0"/>
                <w:sz w:val="22"/>
                <w:szCs w:val="22"/>
                <w:u w:val="none"/>
                <w:lang w:val="en-US" w:eastAsia="zh-CN" w:bidi="ar"/>
              </w:rPr>
              <w:br w:type="textWrapping"/>
            </w:r>
            <w:r>
              <w:rPr>
                <w:rFonts w:hint="eastAsia" w:ascii="仿宋_GB2312" w:hAnsi="宋体" w:eastAsia="仿宋_GB2312" w:cs="仿宋_GB2312"/>
                <w:i w:val="0"/>
                <w:color w:val="auto"/>
                <w:kern w:val="0"/>
                <w:sz w:val="22"/>
                <w:szCs w:val="22"/>
                <w:u w:val="none"/>
                <w:lang w:val="en-US" w:eastAsia="zh-CN" w:bidi="ar"/>
              </w:rPr>
              <w:t>标准检查井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2</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高密度聚乙烯（HDPE）热态缠绕结构壁B型管（克拉管）d400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m</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100</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SN8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3</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挖方</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立方</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1107</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土石比暂定3：7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4</w:t>
            </w:r>
          </w:p>
        </w:tc>
        <w:tc>
          <w:tcPr>
            <w:tcW w:w="3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填方</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立方</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1066</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宋体" w:eastAsia="仿宋_GB2312" w:cs="仿宋_GB2312"/>
                <w:i w:val="0"/>
                <w:color w:val="auto"/>
                <w:kern w:val="0"/>
                <w:sz w:val="22"/>
                <w:szCs w:val="22"/>
                <w:u w:val="none"/>
                <w:lang w:val="en-US" w:eastAsia="zh-CN" w:bidi="ar"/>
              </w:rPr>
            </w:pPr>
            <w:r>
              <w:rPr>
                <w:rFonts w:hint="eastAsia" w:ascii="仿宋_GB2312" w:hAnsi="宋体" w:eastAsia="仿宋_GB2312" w:cs="仿宋_GB2312"/>
                <w:i w:val="0"/>
                <w:color w:val="auto"/>
                <w:kern w:val="0"/>
                <w:sz w:val="22"/>
                <w:szCs w:val="22"/>
                <w:u w:val="none"/>
                <w:lang w:val="en-US" w:eastAsia="zh-CN" w:bidi="ar"/>
              </w:rPr>
              <w:t>土石比暂定3：7</w:t>
            </w:r>
          </w:p>
        </w:tc>
      </w:tr>
    </w:tbl>
    <w:p>
      <w:pPr>
        <w:rPr>
          <w:rFonts w:hint="eastAsia"/>
          <w:color w:val="auto"/>
          <w:lang w:val="en-US" w:eastAsia="zh-CN"/>
        </w:rPr>
      </w:pPr>
    </w:p>
    <w:p>
      <w:pPr>
        <w:pStyle w:val="2"/>
        <w:rPr>
          <w:rFonts w:hint="eastAsia"/>
          <w:color w:val="auto"/>
          <w:lang w:val="en-US" w:eastAsia="zh-CN"/>
        </w:rPr>
      </w:pPr>
    </w:p>
    <w:p>
      <w:pPr>
        <w:pStyle w:val="3"/>
        <w:rPr>
          <w:rFonts w:hint="eastAsia"/>
          <w:color w:val="auto"/>
          <w:lang w:val="en-US" w:eastAsia="zh-CN"/>
        </w:rPr>
      </w:pPr>
    </w:p>
    <w:p>
      <w:pPr>
        <w:rPr>
          <w:rFonts w:hint="eastAsia"/>
          <w:color w:val="auto"/>
          <w:lang w:val="en-US" w:eastAsia="zh-CN"/>
        </w:rPr>
      </w:pPr>
    </w:p>
    <w:p>
      <w:pPr>
        <w:pStyle w:val="2"/>
        <w:rPr>
          <w:rFonts w:hint="eastAsia"/>
          <w:color w:val="auto"/>
          <w:lang w:val="en-US" w:eastAsia="zh-CN"/>
        </w:rPr>
      </w:pPr>
    </w:p>
    <w:p>
      <w:pPr>
        <w:pStyle w:val="3"/>
        <w:rPr>
          <w:rFonts w:hint="eastAsia"/>
          <w:color w:val="auto"/>
          <w:lang w:val="en-US" w:eastAsia="zh-CN"/>
        </w:rPr>
      </w:pPr>
    </w:p>
    <w:p>
      <w:pPr>
        <w:rPr>
          <w:rFonts w:hint="eastAsia"/>
          <w:color w:val="auto"/>
          <w:lang w:val="en-US" w:eastAsia="zh-CN"/>
        </w:rPr>
      </w:pPr>
    </w:p>
    <w:p>
      <w:pPr>
        <w:pStyle w:val="86"/>
        <w:rPr>
          <w:rFonts w:hint="eastAsia" w:eastAsia="宋体"/>
          <w:color w:val="auto"/>
          <w:szCs w:val="28"/>
          <w:lang w:val="en-US" w:eastAsia="zh-CN"/>
        </w:rPr>
        <w:sectPr>
          <w:type w:val="continuous"/>
          <w:pgSz w:w="23814" w:h="16840" w:orient="landscape"/>
          <w:pgMar w:top="1134" w:right="1440" w:bottom="2268" w:left="2552" w:header="851" w:footer="992" w:gutter="0"/>
          <w:cols w:space="942" w:num="2"/>
          <w:docGrid w:type="linesAndChars" w:linePitch="353" w:charSpace="1355"/>
        </w:sectPr>
      </w:pPr>
    </w:p>
    <w:p>
      <w:pPr>
        <w:pStyle w:val="86"/>
        <w:ind w:left="0" w:leftChars="0" w:firstLine="0" w:firstLineChars="0"/>
        <w:rPr>
          <w:color w:val="auto"/>
          <w:szCs w:val="28"/>
        </w:rPr>
        <w:sectPr>
          <w:type w:val="continuous"/>
          <w:pgSz w:w="23814" w:h="16840" w:orient="landscape"/>
          <w:pgMar w:top="1134" w:right="1440" w:bottom="2268" w:left="2552" w:header="851" w:footer="992" w:gutter="0"/>
          <w:cols w:space="942" w:num="2"/>
          <w:docGrid w:type="linesAndChars" w:linePitch="353" w:charSpace="1355"/>
        </w:sectPr>
      </w:pPr>
    </w:p>
    <w:p>
      <w:pPr>
        <w:pStyle w:val="86"/>
        <w:spacing w:line="470" w:lineRule="exact"/>
        <w:ind w:left="0" w:leftChars="0" w:firstLine="0" w:firstLineChars="0"/>
        <w:rPr>
          <w:rFonts w:hint="default" w:ascii="Times New Roman" w:hAnsi="Times New Roman" w:eastAsia="宋体" w:cs="Times New Roman"/>
          <w:color w:val="auto"/>
          <w:szCs w:val="28"/>
        </w:rPr>
      </w:pPr>
    </w:p>
    <w:sectPr>
      <w:type w:val="continuous"/>
      <w:pgSz w:w="23814" w:h="16840" w:orient="landscape"/>
      <w:pgMar w:top="1134" w:right="1440" w:bottom="2268" w:left="2552" w:header="851" w:footer="992" w:gutter="0"/>
      <w:cols w:space="425" w:num="1"/>
      <w:docGrid w:type="linesAndChars" w:linePitch="353" w:charSpace="135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E0C7D"/>
    <w:multiLevelType w:val="multilevel"/>
    <w:tmpl w:val="0E3E0C7D"/>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1">
    <w:nsid w:val="3C431FBD"/>
    <w:multiLevelType w:val="multilevel"/>
    <w:tmpl w:val="3C431FBD"/>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2">
    <w:nsid w:val="3E447F23"/>
    <w:multiLevelType w:val="multilevel"/>
    <w:tmpl w:val="3E447F23"/>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3">
    <w:nsid w:val="4B3A2299"/>
    <w:multiLevelType w:val="multilevel"/>
    <w:tmpl w:val="4B3A2299"/>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4">
    <w:nsid w:val="59BB12BB"/>
    <w:multiLevelType w:val="multilevel"/>
    <w:tmpl w:val="59BB12BB"/>
    <w:lvl w:ilvl="0" w:tentative="0">
      <w:start w:val="1"/>
      <w:numFmt w:val="decimal"/>
      <w:lvlText w:val="（%1）"/>
      <w:lvlJc w:val="left"/>
      <w:pPr>
        <w:ind w:left="913" w:hanging="420"/>
      </w:p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abstractNum w:abstractNumId="5">
    <w:nsid w:val="7611439A"/>
    <w:multiLevelType w:val="multilevel"/>
    <w:tmpl w:val="7611439A"/>
    <w:lvl w:ilvl="0" w:tentative="0">
      <w:start w:val="1"/>
      <w:numFmt w:val="decimal"/>
      <w:pStyle w:val="4"/>
      <w:lvlText w:val="%1、"/>
      <w:lvlJc w:val="left"/>
      <w:pPr>
        <w:ind w:left="658" w:hanging="516"/>
      </w:pPr>
      <w:rPr>
        <w:rFonts w:hint="eastAsia" w:eastAsia="宋体"/>
      </w:rPr>
    </w:lvl>
    <w:lvl w:ilvl="1" w:tentative="0">
      <w:start w:val="1"/>
      <w:numFmt w:val="decimal"/>
      <w:pStyle w:val="5"/>
      <w:lvlText w:val="%1.%2"/>
      <w:lvlJc w:val="left"/>
      <w:pPr>
        <w:ind w:left="516" w:hanging="516"/>
      </w:pPr>
      <w:rPr>
        <w:rFonts w:hint="eastAsia"/>
      </w:rPr>
    </w:lvl>
    <w:lvl w:ilvl="2" w:tentative="0">
      <w:start w:val="1"/>
      <w:numFmt w:val="decimal"/>
      <w:pStyle w:val="95"/>
      <w:lvlText w:val="%1.%2.%3"/>
      <w:lvlJc w:val="right"/>
      <w:pPr>
        <w:ind w:left="420" w:firstLine="567"/>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5"/>
  </w:num>
  <w:num w:numId="2">
    <w:abstractNumId w:val="1"/>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U5YTg4NDFhMmUyMjI1Y2FmODlhM2FlNzIwZDU1ZmIifQ=="/>
  </w:docVars>
  <w:rsids>
    <w:rsidRoot w:val="00175C72"/>
    <w:rsid w:val="00007346"/>
    <w:rsid w:val="00007F53"/>
    <w:rsid w:val="000116A3"/>
    <w:rsid w:val="00025EDE"/>
    <w:rsid w:val="00026B79"/>
    <w:rsid w:val="00030094"/>
    <w:rsid w:val="00041287"/>
    <w:rsid w:val="00056E11"/>
    <w:rsid w:val="00061DBA"/>
    <w:rsid w:val="00076EBB"/>
    <w:rsid w:val="00085F64"/>
    <w:rsid w:val="00092B68"/>
    <w:rsid w:val="000936D5"/>
    <w:rsid w:val="000A6DB9"/>
    <w:rsid w:val="000C6098"/>
    <w:rsid w:val="000E6CD4"/>
    <w:rsid w:val="000F1D18"/>
    <w:rsid w:val="000F7C63"/>
    <w:rsid w:val="00115BB9"/>
    <w:rsid w:val="0012382E"/>
    <w:rsid w:val="00136E07"/>
    <w:rsid w:val="00141EDA"/>
    <w:rsid w:val="00144117"/>
    <w:rsid w:val="00147EAF"/>
    <w:rsid w:val="00150F2B"/>
    <w:rsid w:val="00161A4D"/>
    <w:rsid w:val="001622D4"/>
    <w:rsid w:val="001639F7"/>
    <w:rsid w:val="00163CF7"/>
    <w:rsid w:val="00166539"/>
    <w:rsid w:val="00175C72"/>
    <w:rsid w:val="00181C1F"/>
    <w:rsid w:val="00186745"/>
    <w:rsid w:val="001955E0"/>
    <w:rsid w:val="001A0373"/>
    <w:rsid w:val="001A0AB7"/>
    <w:rsid w:val="001A554C"/>
    <w:rsid w:val="001B5391"/>
    <w:rsid w:val="001C3095"/>
    <w:rsid w:val="001D2DED"/>
    <w:rsid w:val="001D4D29"/>
    <w:rsid w:val="00201E90"/>
    <w:rsid w:val="00205B21"/>
    <w:rsid w:val="00207C7A"/>
    <w:rsid w:val="00211BD4"/>
    <w:rsid w:val="0021589C"/>
    <w:rsid w:val="002200D6"/>
    <w:rsid w:val="002240D8"/>
    <w:rsid w:val="00225A42"/>
    <w:rsid w:val="002315CF"/>
    <w:rsid w:val="00232ED0"/>
    <w:rsid w:val="00252D13"/>
    <w:rsid w:val="00252E9E"/>
    <w:rsid w:val="00263CF1"/>
    <w:rsid w:val="002674ED"/>
    <w:rsid w:val="00275275"/>
    <w:rsid w:val="00292357"/>
    <w:rsid w:val="002931E5"/>
    <w:rsid w:val="002B5674"/>
    <w:rsid w:val="002C4EE6"/>
    <w:rsid w:val="002C5BEC"/>
    <w:rsid w:val="002F07E3"/>
    <w:rsid w:val="002F19E1"/>
    <w:rsid w:val="003028DD"/>
    <w:rsid w:val="00302F8E"/>
    <w:rsid w:val="003068FF"/>
    <w:rsid w:val="00313B12"/>
    <w:rsid w:val="00335513"/>
    <w:rsid w:val="00337C91"/>
    <w:rsid w:val="00343145"/>
    <w:rsid w:val="00343677"/>
    <w:rsid w:val="003469B8"/>
    <w:rsid w:val="003509C4"/>
    <w:rsid w:val="00351D73"/>
    <w:rsid w:val="00361380"/>
    <w:rsid w:val="003724DE"/>
    <w:rsid w:val="00373655"/>
    <w:rsid w:val="00383EB4"/>
    <w:rsid w:val="003958BA"/>
    <w:rsid w:val="003A09A6"/>
    <w:rsid w:val="003A3BA4"/>
    <w:rsid w:val="003A44DF"/>
    <w:rsid w:val="003E3D83"/>
    <w:rsid w:val="003E5717"/>
    <w:rsid w:val="004148AD"/>
    <w:rsid w:val="00423D2A"/>
    <w:rsid w:val="00423D75"/>
    <w:rsid w:val="004267EF"/>
    <w:rsid w:val="004368BC"/>
    <w:rsid w:val="004455F4"/>
    <w:rsid w:val="00456057"/>
    <w:rsid w:val="00464D7F"/>
    <w:rsid w:val="00473550"/>
    <w:rsid w:val="00487E73"/>
    <w:rsid w:val="004B78D2"/>
    <w:rsid w:val="004D38C7"/>
    <w:rsid w:val="004D618F"/>
    <w:rsid w:val="004E23CE"/>
    <w:rsid w:val="00501A09"/>
    <w:rsid w:val="00515A04"/>
    <w:rsid w:val="0053139F"/>
    <w:rsid w:val="005334FC"/>
    <w:rsid w:val="00547977"/>
    <w:rsid w:val="00553874"/>
    <w:rsid w:val="005573E0"/>
    <w:rsid w:val="00562285"/>
    <w:rsid w:val="005652FB"/>
    <w:rsid w:val="00567702"/>
    <w:rsid w:val="00570BEB"/>
    <w:rsid w:val="00575DBD"/>
    <w:rsid w:val="00580946"/>
    <w:rsid w:val="00584327"/>
    <w:rsid w:val="00585137"/>
    <w:rsid w:val="00590E04"/>
    <w:rsid w:val="005A39FB"/>
    <w:rsid w:val="005A50A7"/>
    <w:rsid w:val="005B3EA4"/>
    <w:rsid w:val="005B4398"/>
    <w:rsid w:val="005C661D"/>
    <w:rsid w:val="005D19FE"/>
    <w:rsid w:val="005E6B8F"/>
    <w:rsid w:val="005F6185"/>
    <w:rsid w:val="006161FE"/>
    <w:rsid w:val="00627B01"/>
    <w:rsid w:val="006457F2"/>
    <w:rsid w:val="006458D1"/>
    <w:rsid w:val="00655683"/>
    <w:rsid w:val="00655980"/>
    <w:rsid w:val="006847BA"/>
    <w:rsid w:val="00687A07"/>
    <w:rsid w:val="006A4CBA"/>
    <w:rsid w:val="006B4DE1"/>
    <w:rsid w:val="006C2E76"/>
    <w:rsid w:val="006E1741"/>
    <w:rsid w:val="006E1986"/>
    <w:rsid w:val="006E257C"/>
    <w:rsid w:val="006E3C37"/>
    <w:rsid w:val="006E70B1"/>
    <w:rsid w:val="006F376A"/>
    <w:rsid w:val="00720649"/>
    <w:rsid w:val="007226F7"/>
    <w:rsid w:val="00732393"/>
    <w:rsid w:val="007450F2"/>
    <w:rsid w:val="00746866"/>
    <w:rsid w:val="0076417C"/>
    <w:rsid w:val="007668F2"/>
    <w:rsid w:val="007724BF"/>
    <w:rsid w:val="00781CBC"/>
    <w:rsid w:val="00793843"/>
    <w:rsid w:val="007A077C"/>
    <w:rsid w:val="007A1288"/>
    <w:rsid w:val="007A5010"/>
    <w:rsid w:val="007A7282"/>
    <w:rsid w:val="007E5013"/>
    <w:rsid w:val="007E7AAD"/>
    <w:rsid w:val="00800DAA"/>
    <w:rsid w:val="008210AD"/>
    <w:rsid w:val="00835B19"/>
    <w:rsid w:val="00846843"/>
    <w:rsid w:val="008526BB"/>
    <w:rsid w:val="00875062"/>
    <w:rsid w:val="00876EE4"/>
    <w:rsid w:val="008823A7"/>
    <w:rsid w:val="008846C4"/>
    <w:rsid w:val="008A2530"/>
    <w:rsid w:val="008A57BD"/>
    <w:rsid w:val="008A77BD"/>
    <w:rsid w:val="008B030C"/>
    <w:rsid w:val="008B3A43"/>
    <w:rsid w:val="008B7088"/>
    <w:rsid w:val="008D6CDD"/>
    <w:rsid w:val="0090029D"/>
    <w:rsid w:val="009026A1"/>
    <w:rsid w:val="00902D9F"/>
    <w:rsid w:val="009065E8"/>
    <w:rsid w:val="0091472D"/>
    <w:rsid w:val="00932788"/>
    <w:rsid w:val="00935A0F"/>
    <w:rsid w:val="009404E6"/>
    <w:rsid w:val="00941BEB"/>
    <w:rsid w:val="00941E3A"/>
    <w:rsid w:val="0094498D"/>
    <w:rsid w:val="009638CA"/>
    <w:rsid w:val="00963D08"/>
    <w:rsid w:val="0096492F"/>
    <w:rsid w:val="00972CF4"/>
    <w:rsid w:val="00983BF9"/>
    <w:rsid w:val="0098545D"/>
    <w:rsid w:val="0098580B"/>
    <w:rsid w:val="00990B52"/>
    <w:rsid w:val="00993DEF"/>
    <w:rsid w:val="00994858"/>
    <w:rsid w:val="00995544"/>
    <w:rsid w:val="009A056A"/>
    <w:rsid w:val="009B19A5"/>
    <w:rsid w:val="009C0F7D"/>
    <w:rsid w:val="009C415C"/>
    <w:rsid w:val="009E41AE"/>
    <w:rsid w:val="00A04A45"/>
    <w:rsid w:val="00A218B0"/>
    <w:rsid w:val="00A340AE"/>
    <w:rsid w:val="00A46D8D"/>
    <w:rsid w:val="00A63AD0"/>
    <w:rsid w:val="00A656C9"/>
    <w:rsid w:val="00A729FA"/>
    <w:rsid w:val="00A75A66"/>
    <w:rsid w:val="00A974D8"/>
    <w:rsid w:val="00AB1CDD"/>
    <w:rsid w:val="00AB39FD"/>
    <w:rsid w:val="00AB54C8"/>
    <w:rsid w:val="00AB7536"/>
    <w:rsid w:val="00AD46C0"/>
    <w:rsid w:val="00AD76FD"/>
    <w:rsid w:val="00AF01B6"/>
    <w:rsid w:val="00AF0604"/>
    <w:rsid w:val="00AF3748"/>
    <w:rsid w:val="00AF42E7"/>
    <w:rsid w:val="00B00D91"/>
    <w:rsid w:val="00B10207"/>
    <w:rsid w:val="00B12A74"/>
    <w:rsid w:val="00B15162"/>
    <w:rsid w:val="00B3756B"/>
    <w:rsid w:val="00B42342"/>
    <w:rsid w:val="00B42803"/>
    <w:rsid w:val="00B55E2E"/>
    <w:rsid w:val="00B57065"/>
    <w:rsid w:val="00B6077E"/>
    <w:rsid w:val="00B73019"/>
    <w:rsid w:val="00B80F87"/>
    <w:rsid w:val="00B815F2"/>
    <w:rsid w:val="00B86480"/>
    <w:rsid w:val="00B8711E"/>
    <w:rsid w:val="00B93DE8"/>
    <w:rsid w:val="00B969E9"/>
    <w:rsid w:val="00BA33F1"/>
    <w:rsid w:val="00BA6A0A"/>
    <w:rsid w:val="00BC43CC"/>
    <w:rsid w:val="00BD327C"/>
    <w:rsid w:val="00BD3C5A"/>
    <w:rsid w:val="00BF0D46"/>
    <w:rsid w:val="00BF1930"/>
    <w:rsid w:val="00BF3528"/>
    <w:rsid w:val="00C01462"/>
    <w:rsid w:val="00C0274E"/>
    <w:rsid w:val="00C15914"/>
    <w:rsid w:val="00C17634"/>
    <w:rsid w:val="00C44A09"/>
    <w:rsid w:val="00C5411A"/>
    <w:rsid w:val="00C56296"/>
    <w:rsid w:val="00C83D18"/>
    <w:rsid w:val="00C87C02"/>
    <w:rsid w:val="00C92FB4"/>
    <w:rsid w:val="00CA3B4D"/>
    <w:rsid w:val="00CC5B41"/>
    <w:rsid w:val="00CE3639"/>
    <w:rsid w:val="00CF6338"/>
    <w:rsid w:val="00D05298"/>
    <w:rsid w:val="00D16BB0"/>
    <w:rsid w:val="00D17D34"/>
    <w:rsid w:val="00D21F28"/>
    <w:rsid w:val="00D225F1"/>
    <w:rsid w:val="00D301FD"/>
    <w:rsid w:val="00D33B28"/>
    <w:rsid w:val="00D378D7"/>
    <w:rsid w:val="00D46429"/>
    <w:rsid w:val="00D47357"/>
    <w:rsid w:val="00D521FB"/>
    <w:rsid w:val="00D553D2"/>
    <w:rsid w:val="00D71090"/>
    <w:rsid w:val="00D760B2"/>
    <w:rsid w:val="00D86B3A"/>
    <w:rsid w:val="00DB125C"/>
    <w:rsid w:val="00DB2135"/>
    <w:rsid w:val="00DB4325"/>
    <w:rsid w:val="00DB5BED"/>
    <w:rsid w:val="00DC1F4A"/>
    <w:rsid w:val="00DC523A"/>
    <w:rsid w:val="00DD2B55"/>
    <w:rsid w:val="00DE6A14"/>
    <w:rsid w:val="00E00823"/>
    <w:rsid w:val="00E347D7"/>
    <w:rsid w:val="00E45C63"/>
    <w:rsid w:val="00E60623"/>
    <w:rsid w:val="00E64DA7"/>
    <w:rsid w:val="00E8309F"/>
    <w:rsid w:val="00E8673F"/>
    <w:rsid w:val="00E954AE"/>
    <w:rsid w:val="00EA4B63"/>
    <w:rsid w:val="00EA6AF5"/>
    <w:rsid w:val="00EA7619"/>
    <w:rsid w:val="00EA7A13"/>
    <w:rsid w:val="00EB406D"/>
    <w:rsid w:val="00EC0E24"/>
    <w:rsid w:val="00EF45CC"/>
    <w:rsid w:val="00EF6346"/>
    <w:rsid w:val="00F005BE"/>
    <w:rsid w:val="00F06839"/>
    <w:rsid w:val="00F1543C"/>
    <w:rsid w:val="00F3338D"/>
    <w:rsid w:val="00F47F98"/>
    <w:rsid w:val="00F5338F"/>
    <w:rsid w:val="00F544B4"/>
    <w:rsid w:val="00F768A6"/>
    <w:rsid w:val="00F76FE6"/>
    <w:rsid w:val="00F82167"/>
    <w:rsid w:val="00F82564"/>
    <w:rsid w:val="00F87390"/>
    <w:rsid w:val="00F94489"/>
    <w:rsid w:val="00F95369"/>
    <w:rsid w:val="00FA051C"/>
    <w:rsid w:val="00FA4944"/>
    <w:rsid w:val="00FA6701"/>
    <w:rsid w:val="00FB058F"/>
    <w:rsid w:val="00FE3D81"/>
    <w:rsid w:val="00FE5027"/>
    <w:rsid w:val="0271121F"/>
    <w:rsid w:val="027418BE"/>
    <w:rsid w:val="02FD1796"/>
    <w:rsid w:val="030169D8"/>
    <w:rsid w:val="03264896"/>
    <w:rsid w:val="043E1A11"/>
    <w:rsid w:val="04A80D16"/>
    <w:rsid w:val="04EC48DB"/>
    <w:rsid w:val="05A25D99"/>
    <w:rsid w:val="060F37BE"/>
    <w:rsid w:val="06361907"/>
    <w:rsid w:val="07032534"/>
    <w:rsid w:val="077E578B"/>
    <w:rsid w:val="087F6204"/>
    <w:rsid w:val="0957686C"/>
    <w:rsid w:val="096B3847"/>
    <w:rsid w:val="0A9928DD"/>
    <w:rsid w:val="0B735CE8"/>
    <w:rsid w:val="0CEF49F1"/>
    <w:rsid w:val="0DC835C0"/>
    <w:rsid w:val="0EB128D2"/>
    <w:rsid w:val="0F2B35AD"/>
    <w:rsid w:val="0F856861"/>
    <w:rsid w:val="0FD31B0A"/>
    <w:rsid w:val="10296ECB"/>
    <w:rsid w:val="10605295"/>
    <w:rsid w:val="10BE59CE"/>
    <w:rsid w:val="10D036C6"/>
    <w:rsid w:val="121043AB"/>
    <w:rsid w:val="12B85602"/>
    <w:rsid w:val="140E07D5"/>
    <w:rsid w:val="14127710"/>
    <w:rsid w:val="143039D3"/>
    <w:rsid w:val="14E36846"/>
    <w:rsid w:val="14EF0209"/>
    <w:rsid w:val="153E44EA"/>
    <w:rsid w:val="153F16D0"/>
    <w:rsid w:val="157653BB"/>
    <w:rsid w:val="16B56CD0"/>
    <w:rsid w:val="183159AA"/>
    <w:rsid w:val="18D607E1"/>
    <w:rsid w:val="192932A9"/>
    <w:rsid w:val="19DE0A1F"/>
    <w:rsid w:val="1AF55C1B"/>
    <w:rsid w:val="1C0951A8"/>
    <w:rsid w:val="1C1F373C"/>
    <w:rsid w:val="1D46689E"/>
    <w:rsid w:val="1D6356D8"/>
    <w:rsid w:val="1E202224"/>
    <w:rsid w:val="1E577412"/>
    <w:rsid w:val="1EB3102F"/>
    <w:rsid w:val="1EFB0A3F"/>
    <w:rsid w:val="1FBE3B6B"/>
    <w:rsid w:val="2025092E"/>
    <w:rsid w:val="2075052E"/>
    <w:rsid w:val="21540BD9"/>
    <w:rsid w:val="21CF3F0B"/>
    <w:rsid w:val="22A043F9"/>
    <w:rsid w:val="22DB4438"/>
    <w:rsid w:val="259C7235"/>
    <w:rsid w:val="26EE77E6"/>
    <w:rsid w:val="270E50E3"/>
    <w:rsid w:val="27214BC3"/>
    <w:rsid w:val="2A075079"/>
    <w:rsid w:val="2A0F1C38"/>
    <w:rsid w:val="2A267018"/>
    <w:rsid w:val="2C7B15DE"/>
    <w:rsid w:val="2D42563D"/>
    <w:rsid w:val="2E005C6C"/>
    <w:rsid w:val="303E1C09"/>
    <w:rsid w:val="316E1E4B"/>
    <w:rsid w:val="31C959B9"/>
    <w:rsid w:val="31CA7A55"/>
    <w:rsid w:val="32027F33"/>
    <w:rsid w:val="32AB759D"/>
    <w:rsid w:val="32FA10FA"/>
    <w:rsid w:val="339006F3"/>
    <w:rsid w:val="35A549F6"/>
    <w:rsid w:val="367C06B6"/>
    <w:rsid w:val="37762592"/>
    <w:rsid w:val="38216162"/>
    <w:rsid w:val="382A6E5D"/>
    <w:rsid w:val="38941BAE"/>
    <w:rsid w:val="39130CD3"/>
    <w:rsid w:val="3AAF0EFA"/>
    <w:rsid w:val="3AFA112A"/>
    <w:rsid w:val="3B5332BF"/>
    <w:rsid w:val="3B642117"/>
    <w:rsid w:val="3C276563"/>
    <w:rsid w:val="3E3D2254"/>
    <w:rsid w:val="3E7F31F5"/>
    <w:rsid w:val="3E9B0BC8"/>
    <w:rsid w:val="3F4E0C68"/>
    <w:rsid w:val="3F9B7B98"/>
    <w:rsid w:val="40AD654C"/>
    <w:rsid w:val="40E034B2"/>
    <w:rsid w:val="417173E6"/>
    <w:rsid w:val="41766A8E"/>
    <w:rsid w:val="427B3EAD"/>
    <w:rsid w:val="43CF7692"/>
    <w:rsid w:val="443E61EE"/>
    <w:rsid w:val="447457E8"/>
    <w:rsid w:val="456A0296"/>
    <w:rsid w:val="48504E40"/>
    <w:rsid w:val="493A3B67"/>
    <w:rsid w:val="498A5A6E"/>
    <w:rsid w:val="4A1A5EB1"/>
    <w:rsid w:val="4AAD0330"/>
    <w:rsid w:val="4B0A423F"/>
    <w:rsid w:val="4BE630E2"/>
    <w:rsid w:val="4C0A312C"/>
    <w:rsid w:val="4D896BBF"/>
    <w:rsid w:val="4E69633D"/>
    <w:rsid w:val="4E9329C4"/>
    <w:rsid w:val="4FAD32F9"/>
    <w:rsid w:val="51700B34"/>
    <w:rsid w:val="517C360B"/>
    <w:rsid w:val="53F15744"/>
    <w:rsid w:val="541F76C1"/>
    <w:rsid w:val="55307BE1"/>
    <w:rsid w:val="579B677A"/>
    <w:rsid w:val="58474CEF"/>
    <w:rsid w:val="584C784F"/>
    <w:rsid w:val="59627424"/>
    <w:rsid w:val="59CD70ED"/>
    <w:rsid w:val="5B0A52AE"/>
    <w:rsid w:val="5B3A0E88"/>
    <w:rsid w:val="5C731A2C"/>
    <w:rsid w:val="5C9B39E2"/>
    <w:rsid w:val="5D044331"/>
    <w:rsid w:val="5D9A40FC"/>
    <w:rsid w:val="5DD574F9"/>
    <w:rsid w:val="5F254997"/>
    <w:rsid w:val="5FD059CE"/>
    <w:rsid w:val="60D56B33"/>
    <w:rsid w:val="60EF24B4"/>
    <w:rsid w:val="613D0551"/>
    <w:rsid w:val="618D24C8"/>
    <w:rsid w:val="61DB396F"/>
    <w:rsid w:val="61F72518"/>
    <w:rsid w:val="61FC37C5"/>
    <w:rsid w:val="621F2A2D"/>
    <w:rsid w:val="626A55CA"/>
    <w:rsid w:val="6320674C"/>
    <w:rsid w:val="63D11417"/>
    <w:rsid w:val="64606416"/>
    <w:rsid w:val="648705CE"/>
    <w:rsid w:val="64C93926"/>
    <w:rsid w:val="65570D19"/>
    <w:rsid w:val="65581BA3"/>
    <w:rsid w:val="664572F1"/>
    <w:rsid w:val="66FB28E7"/>
    <w:rsid w:val="67AA2F6E"/>
    <w:rsid w:val="67E4431F"/>
    <w:rsid w:val="67EF73E4"/>
    <w:rsid w:val="68E4526A"/>
    <w:rsid w:val="69075F53"/>
    <w:rsid w:val="6A2D1320"/>
    <w:rsid w:val="6ACB498F"/>
    <w:rsid w:val="6BB9602F"/>
    <w:rsid w:val="6BE51EA2"/>
    <w:rsid w:val="6DC27F10"/>
    <w:rsid w:val="6DDC4D42"/>
    <w:rsid w:val="6E0D0F54"/>
    <w:rsid w:val="6E9506A6"/>
    <w:rsid w:val="6ED0706A"/>
    <w:rsid w:val="700C3328"/>
    <w:rsid w:val="70AB32B7"/>
    <w:rsid w:val="72276328"/>
    <w:rsid w:val="722F39A0"/>
    <w:rsid w:val="72933226"/>
    <w:rsid w:val="730162D1"/>
    <w:rsid w:val="732F4D11"/>
    <w:rsid w:val="73456C0B"/>
    <w:rsid w:val="73CE3735"/>
    <w:rsid w:val="748B2EA9"/>
    <w:rsid w:val="76740415"/>
    <w:rsid w:val="770B454B"/>
    <w:rsid w:val="774B6B19"/>
    <w:rsid w:val="78356436"/>
    <w:rsid w:val="79C030F6"/>
    <w:rsid w:val="7A0C3992"/>
    <w:rsid w:val="7A5D478C"/>
    <w:rsid w:val="7B3B67D4"/>
    <w:rsid w:val="7BCC1B23"/>
    <w:rsid w:val="7C582E46"/>
    <w:rsid w:val="7C7208FA"/>
    <w:rsid w:val="7D2F7BC4"/>
    <w:rsid w:val="7D5056DC"/>
    <w:rsid w:val="7E055695"/>
    <w:rsid w:val="7E940F94"/>
    <w:rsid w:val="7F05027F"/>
    <w:rsid w:val="7F4951DE"/>
    <w:rsid w:val="7FAC4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styleId="4">
    <w:name w:val="heading 1"/>
    <w:basedOn w:val="1"/>
    <w:next w:val="1"/>
    <w:link w:val="26"/>
    <w:qFormat/>
    <w:uiPriority w:val="0"/>
    <w:pPr>
      <w:keepNext/>
      <w:keepLines/>
      <w:numPr>
        <w:ilvl w:val="0"/>
        <w:numId w:val="1"/>
      </w:numPr>
      <w:spacing w:beforeLines="50"/>
      <w:outlineLvl w:val="0"/>
    </w:pPr>
    <w:rPr>
      <w:b/>
      <w:bCs/>
      <w:kern w:val="44"/>
      <w:szCs w:val="44"/>
    </w:rPr>
  </w:style>
  <w:style w:type="paragraph" w:styleId="5">
    <w:name w:val="heading 2"/>
    <w:next w:val="1"/>
    <w:link w:val="27"/>
    <w:qFormat/>
    <w:uiPriority w:val="0"/>
    <w:pPr>
      <w:keepNext/>
      <w:keepLines/>
      <w:numPr>
        <w:ilvl w:val="1"/>
        <w:numId w:val="1"/>
      </w:numPr>
      <w:spacing w:line="360" w:lineRule="auto"/>
      <w:outlineLvl w:val="1"/>
    </w:pPr>
    <w:rPr>
      <w:rFonts w:ascii="Times New Roman" w:hAnsi="Times New Roman" w:eastAsia="宋体" w:cs="Times New Roman"/>
      <w:b/>
      <w:bCs/>
      <w:kern w:val="24"/>
      <w:sz w:val="24"/>
      <w:szCs w:val="24"/>
      <w:lang w:val="en-US" w:eastAsia="zh-CN" w:bidi="ar-SA"/>
    </w:rPr>
  </w:style>
  <w:style w:type="paragraph" w:styleId="6">
    <w:name w:val="heading 3"/>
    <w:basedOn w:val="1"/>
    <w:next w:val="1"/>
    <w:link w:val="28"/>
    <w:unhideWhenUsed/>
    <w:qFormat/>
    <w:uiPriority w:val="9"/>
    <w:pPr>
      <w:keepNext/>
      <w:keepLines/>
      <w:spacing w:before="260" w:after="260" w:line="416" w:lineRule="auto"/>
      <w:outlineLvl w:val="2"/>
    </w:pPr>
    <w:rPr>
      <w:rFonts w:ascii="Calibri" w:hAnsi="Calibri"/>
      <w:b/>
      <w:bCs/>
      <w:sz w:val="32"/>
      <w:szCs w:val="32"/>
    </w:rPr>
  </w:style>
  <w:style w:type="character" w:default="1" w:styleId="19">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link w:val="90"/>
    <w:qFormat/>
    <w:uiPriority w:val="0"/>
    <w:pPr>
      <w:spacing w:after="120"/>
    </w:pPr>
  </w:style>
  <w:style w:type="paragraph" w:customStyle="1" w:styleId="3">
    <w:name w:val="附件标题-1"/>
    <w:basedOn w:val="1"/>
    <w:next w:val="1"/>
    <w:qFormat/>
    <w:uiPriority w:val="0"/>
    <w:pPr>
      <w:spacing w:beforeLines="50" w:afterLines="50"/>
      <w:jc w:val="center"/>
    </w:pPr>
    <w:rPr>
      <w:rFonts w:eastAsia="黑体"/>
      <w:sz w:val="32"/>
    </w:rPr>
  </w:style>
  <w:style w:type="paragraph" w:styleId="7">
    <w:name w:val="annotation subject"/>
    <w:basedOn w:val="8"/>
    <w:next w:val="8"/>
    <w:link w:val="94"/>
    <w:semiHidden/>
    <w:unhideWhenUsed/>
    <w:qFormat/>
    <w:uiPriority w:val="0"/>
    <w:rPr>
      <w:b/>
      <w:bCs/>
    </w:rPr>
  </w:style>
  <w:style w:type="paragraph" w:styleId="8">
    <w:name w:val="annotation text"/>
    <w:basedOn w:val="1"/>
    <w:link w:val="93"/>
    <w:semiHidden/>
    <w:unhideWhenUsed/>
    <w:qFormat/>
    <w:uiPriority w:val="0"/>
    <w:pPr>
      <w:jc w:val="left"/>
    </w:pPr>
  </w:style>
  <w:style w:type="paragraph" w:styleId="9">
    <w:name w:val="Body Text First Indent"/>
    <w:basedOn w:val="2"/>
    <w:link w:val="91"/>
    <w:qFormat/>
    <w:uiPriority w:val="0"/>
    <w:pPr>
      <w:ind w:firstLine="420" w:firstLineChars="100"/>
    </w:pPr>
  </w:style>
  <w:style w:type="paragraph" w:styleId="10">
    <w:name w:val="Document Map"/>
    <w:basedOn w:val="1"/>
    <w:link w:val="36"/>
    <w:semiHidden/>
    <w:qFormat/>
    <w:uiPriority w:val="0"/>
    <w:pPr>
      <w:shd w:val="clear" w:color="auto" w:fill="000080"/>
    </w:pPr>
  </w:style>
  <w:style w:type="paragraph" w:styleId="11">
    <w:name w:val="Body Text Indent"/>
    <w:basedOn w:val="1"/>
    <w:link w:val="35"/>
    <w:qFormat/>
    <w:uiPriority w:val="0"/>
    <w:pPr>
      <w:ind w:firstLine="493" w:firstLineChars="200"/>
    </w:pPr>
    <w:rPr>
      <w:rFonts w:ascii="仿宋_GB2312" w:hAnsi="宋体"/>
    </w:rPr>
  </w:style>
  <w:style w:type="paragraph" w:styleId="12">
    <w:name w:val="Plain Text"/>
    <w:basedOn w:val="1"/>
    <w:link w:val="31"/>
    <w:qFormat/>
    <w:uiPriority w:val="0"/>
    <w:rPr>
      <w:rFonts w:ascii="宋体" w:hAnsi="Courier New" w:cs="Courier New"/>
      <w:szCs w:val="21"/>
    </w:rPr>
  </w:style>
  <w:style w:type="paragraph" w:styleId="13">
    <w:name w:val="Date"/>
    <w:basedOn w:val="1"/>
    <w:next w:val="1"/>
    <w:link w:val="34"/>
    <w:qFormat/>
    <w:uiPriority w:val="0"/>
  </w:style>
  <w:style w:type="paragraph" w:styleId="14">
    <w:name w:val="Body Text Indent 2"/>
    <w:basedOn w:val="1"/>
    <w:link w:val="29"/>
    <w:qFormat/>
    <w:uiPriority w:val="0"/>
    <w:pPr>
      <w:ind w:firstLine="585"/>
    </w:pPr>
    <w:rPr>
      <w:rFonts w:ascii="宋体" w:hAnsi="宋体" w:eastAsiaTheme="minorEastAsia" w:cstheme="minorBidi"/>
      <w:sz w:val="28"/>
      <w:szCs w:val="22"/>
    </w:rPr>
  </w:style>
  <w:style w:type="paragraph" w:styleId="15">
    <w:name w:val="Balloon Text"/>
    <w:basedOn w:val="1"/>
    <w:link w:val="92"/>
    <w:qFormat/>
    <w:uiPriority w:val="0"/>
    <w:rPr>
      <w:sz w:val="18"/>
      <w:szCs w:val="18"/>
    </w:rPr>
  </w:style>
  <w:style w:type="paragraph" w:styleId="16">
    <w:name w:val="footer"/>
    <w:basedOn w:val="1"/>
    <w:link w:val="32"/>
    <w:qFormat/>
    <w:uiPriority w:val="0"/>
    <w:pPr>
      <w:tabs>
        <w:tab w:val="center" w:pos="4153"/>
        <w:tab w:val="right" w:pos="8306"/>
      </w:tabs>
      <w:snapToGrid w:val="0"/>
      <w:jc w:val="left"/>
    </w:pPr>
    <w:rPr>
      <w:sz w:val="18"/>
    </w:rPr>
  </w:style>
  <w:style w:type="paragraph" w:styleId="17">
    <w:name w:val="header"/>
    <w:basedOn w:val="1"/>
    <w:link w:val="30"/>
    <w:qFormat/>
    <w:uiPriority w:val="0"/>
    <w:pPr>
      <w:pBdr>
        <w:bottom w:val="single" w:color="auto" w:sz="6" w:space="1"/>
      </w:pBdr>
      <w:tabs>
        <w:tab w:val="center" w:pos="4153"/>
        <w:tab w:val="right" w:pos="8306"/>
      </w:tabs>
      <w:snapToGrid w:val="0"/>
      <w:jc w:val="center"/>
    </w:pPr>
    <w:rPr>
      <w:sz w:val="18"/>
    </w:rPr>
  </w:style>
  <w:style w:type="paragraph" w:styleId="18">
    <w:name w:val="Normal (Web)"/>
    <w:basedOn w:val="1"/>
    <w:qFormat/>
    <w:uiPriority w:val="0"/>
    <w:pPr>
      <w:widowControl/>
      <w:spacing w:before="100" w:beforeLines="0" w:beforeAutospacing="1" w:after="100" w:afterLines="0" w:afterAutospacing="1"/>
      <w:jc w:val="left"/>
    </w:pPr>
    <w:rPr>
      <w:rFonts w:ascii="Arial Unicode MS" w:hAnsi="Arial Unicode MS" w:eastAsia="Times New Roman"/>
      <w:color w:val="000000"/>
      <w:kern w:val="0"/>
      <w:sz w:val="24"/>
    </w:rPr>
  </w:style>
  <w:style w:type="character" w:styleId="20">
    <w:name w:val="Strong"/>
    <w:basedOn w:val="19"/>
    <w:qFormat/>
    <w:uiPriority w:val="0"/>
    <w:rPr>
      <w:rFonts w:eastAsia="宋体"/>
      <w:bCs/>
      <w:color w:val="008000"/>
      <w:sz w:val="24"/>
    </w:rPr>
  </w:style>
  <w:style w:type="character" w:styleId="21">
    <w:name w:val="page number"/>
    <w:basedOn w:val="19"/>
    <w:qFormat/>
    <w:uiPriority w:val="0"/>
  </w:style>
  <w:style w:type="character" w:styleId="22">
    <w:name w:val="Emphasis"/>
    <w:basedOn w:val="19"/>
    <w:qFormat/>
    <w:uiPriority w:val="0"/>
    <w:rPr>
      <w:i/>
      <w:iCs/>
      <w:color w:val="0000FF"/>
    </w:rPr>
  </w:style>
  <w:style w:type="character" w:styleId="23">
    <w:name w:val="annotation reference"/>
    <w:basedOn w:val="19"/>
    <w:semiHidden/>
    <w:unhideWhenUsed/>
    <w:qFormat/>
    <w:uiPriority w:val="0"/>
    <w:rPr>
      <w:sz w:val="21"/>
      <w:szCs w:val="21"/>
    </w:rPr>
  </w:style>
  <w:style w:type="table" w:styleId="25">
    <w:name w:val="Table Grid"/>
    <w:basedOn w:val="24"/>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6">
    <w:name w:val="标题 1 字符"/>
    <w:basedOn w:val="19"/>
    <w:link w:val="4"/>
    <w:qFormat/>
    <w:uiPriority w:val="0"/>
    <w:rPr>
      <w:rFonts w:ascii="Times New Roman" w:hAnsi="Times New Roman" w:eastAsia="宋体" w:cs="Times New Roman"/>
      <w:b/>
      <w:bCs/>
      <w:kern w:val="44"/>
      <w:sz w:val="24"/>
      <w:szCs w:val="44"/>
    </w:rPr>
  </w:style>
  <w:style w:type="character" w:customStyle="1" w:styleId="27">
    <w:name w:val="标题 2 字符"/>
    <w:basedOn w:val="19"/>
    <w:link w:val="5"/>
    <w:qFormat/>
    <w:uiPriority w:val="0"/>
    <w:rPr>
      <w:rFonts w:ascii="Times New Roman" w:hAnsi="Times New Roman" w:eastAsia="宋体" w:cs="Times New Roman"/>
      <w:b/>
      <w:bCs/>
      <w:kern w:val="24"/>
      <w:sz w:val="24"/>
      <w:szCs w:val="24"/>
    </w:rPr>
  </w:style>
  <w:style w:type="character" w:customStyle="1" w:styleId="28">
    <w:name w:val="标题 3 字符"/>
    <w:basedOn w:val="19"/>
    <w:link w:val="6"/>
    <w:qFormat/>
    <w:uiPriority w:val="9"/>
    <w:rPr>
      <w:rFonts w:ascii="Calibri" w:hAnsi="Calibri" w:eastAsia="宋体" w:cs="Times New Roman"/>
      <w:b/>
      <w:bCs/>
      <w:sz w:val="32"/>
      <w:szCs w:val="32"/>
    </w:rPr>
  </w:style>
  <w:style w:type="character" w:customStyle="1" w:styleId="29">
    <w:name w:val="正文文本缩进 2 字符"/>
    <w:link w:val="14"/>
    <w:qFormat/>
    <w:uiPriority w:val="0"/>
    <w:rPr>
      <w:rFonts w:ascii="宋体" w:hAnsi="宋体"/>
      <w:sz w:val="28"/>
    </w:rPr>
  </w:style>
  <w:style w:type="character" w:customStyle="1" w:styleId="30">
    <w:name w:val="页眉 字符"/>
    <w:basedOn w:val="19"/>
    <w:link w:val="17"/>
    <w:qFormat/>
    <w:uiPriority w:val="0"/>
    <w:rPr>
      <w:rFonts w:ascii="Times New Roman" w:hAnsi="Times New Roman" w:eastAsia="宋体" w:cs="Times New Roman"/>
      <w:sz w:val="18"/>
      <w:szCs w:val="20"/>
    </w:rPr>
  </w:style>
  <w:style w:type="character" w:customStyle="1" w:styleId="31">
    <w:name w:val="纯文本 字符"/>
    <w:basedOn w:val="19"/>
    <w:link w:val="12"/>
    <w:qFormat/>
    <w:uiPriority w:val="0"/>
    <w:rPr>
      <w:rFonts w:ascii="宋体" w:hAnsi="Courier New" w:eastAsia="宋体" w:cs="Courier New"/>
      <w:sz w:val="24"/>
      <w:szCs w:val="21"/>
    </w:rPr>
  </w:style>
  <w:style w:type="character" w:customStyle="1" w:styleId="32">
    <w:name w:val="页脚 字符"/>
    <w:basedOn w:val="19"/>
    <w:link w:val="16"/>
    <w:qFormat/>
    <w:uiPriority w:val="0"/>
    <w:rPr>
      <w:rFonts w:ascii="Times New Roman" w:hAnsi="Times New Roman" w:eastAsia="宋体" w:cs="Times New Roman"/>
      <w:sz w:val="18"/>
      <w:szCs w:val="20"/>
    </w:rPr>
  </w:style>
  <w:style w:type="character" w:customStyle="1" w:styleId="33">
    <w:name w:val="正文文本缩进 2 字符1"/>
    <w:basedOn w:val="19"/>
    <w:semiHidden/>
    <w:qFormat/>
    <w:uiPriority w:val="99"/>
    <w:rPr>
      <w:rFonts w:ascii="Times New Roman" w:hAnsi="Times New Roman" w:eastAsia="宋体" w:cs="Times New Roman"/>
      <w:sz w:val="24"/>
      <w:szCs w:val="20"/>
    </w:rPr>
  </w:style>
  <w:style w:type="character" w:customStyle="1" w:styleId="34">
    <w:name w:val="日期 字符"/>
    <w:basedOn w:val="19"/>
    <w:link w:val="13"/>
    <w:qFormat/>
    <w:uiPriority w:val="0"/>
    <w:rPr>
      <w:rFonts w:ascii="Times New Roman" w:hAnsi="Times New Roman" w:eastAsia="宋体" w:cs="Times New Roman"/>
      <w:sz w:val="24"/>
      <w:szCs w:val="20"/>
    </w:rPr>
  </w:style>
  <w:style w:type="character" w:customStyle="1" w:styleId="35">
    <w:name w:val="正文文本缩进 字符"/>
    <w:basedOn w:val="19"/>
    <w:link w:val="11"/>
    <w:qFormat/>
    <w:uiPriority w:val="0"/>
    <w:rPr>
      <w:rFonts w:ascii="仿宋_GB2312" w:hAnsi="宋体" w:eastAsia="宋体" w:cs="Times New Roman"/>
      <w:sz w:val="24"/>
      <w:szCs w:val="20"/>
    </w:rPr>
  </w:style>
  <w:style w:type="character" w:customStyle="1" w:styleId="36">
    <w:name w:val="文档结构图 字符"/>
    <w:basedOn w:val="19"/>
    <w:link w:val="10"/>
    <w:semiHidden/>
    <w:qFormat/>
    <w:uiPriority w:val="0"/>
    <w:rPr>
      <w:rFonts w:ascii="Times New Roman" w:hAnsi="Times New Roman" w:eastAsia="宋体" w:cs="Times New Roman"/>
      <w:sz w:val="24"/>
      <w:szCs w:val="20"/>
      <w:shd w:val="clear" w:color="auto" w:fill="000080"/>
    </w:rPr>
  </w:style>
  <w:style w:type="paragraph" w:customStyle="1" w:styleId="3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rPr>
  </w:style>
  <w:style w:type="paragraph" w:customStyle="1" w:styleId="3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kern w:val="0"/>
      <w:sz w:val="20"/>
    </w:rPr>
  </w:style>
  <w:style w:type="paragraph" w:customStyle="1" w:styleId="3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rPr>
  </w:style>
  <w:style w:type="paragraph" w:customStyle="1" w:styleId="4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styleId="41">
    <w:name w:val="List Paragraph"/>
    <w:basedOn w:val="1"/>
    <w:link w:val="96"/>
    <w:qFormat/>
    <w:uiPriority w:val="34"/>
    <w:pPr>
      <w:ind w:firstLine="420" w:firstLineChars="200"/>
    </w:pPr>
    <w:rPr>
      <w:rFonts w:ascii="Calibri" w:hAnsi="Calibri"/>
      <w:sz w:val="21"/>
      <w:szCs w:val="22"/>
    </w:rPr>
  </w:style>
  <w:style w:type="paragraph" w:customStyle="1" w:styleId="4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rPr>
  </w:style>
  <w:style w:type="paragraph" w:customStyle="1" w:styleId="4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0"/>
    </w:rPr>
  </w:style>
  <w:style w:type="paragraph" w:customStyle="1" w:styleId="44">
    <w:name w:val="font12"/>
    <w:basedOn w:val="1"/>
    <w:qFormat/>
    <w:uiPriority w:val="0"/>
    <w:pPr>
      <w:widowControl/>
      <w:spacing w:before="100" w:beforeAutospacing="1" w:after="100" w:afterAutospacing="1"/>
      <w:jc w:val="left"/>
    </w:pPr>
    <w:rPr>
      <w:rFonts w:hint="eastAsia" w:ascii="仿宋_GB2312" w:hAnsi="宋体"/>
      <w:color w:val="000000"/>
      <w:kern w:val="0"/>
      <w:sz w:val="20"/>
    </w:rPr>
  </w:style>
  <w:style w:type="paragraph" w:customStyle="1" w:styleId="45">
    <w:name w:val="font6"/>
    <w:basedOn w:val="1"/>
    <w:qFormat/>
    <w:uiPriority w:val="0"/>
    <w:pPr>
      <w:widowControl/>
      <w:spacing w:before="100" w:beforeAutospacing="1" w:after="100" w:afterAutospacing="1"/>
      <w:jc w:val="left"/>
    </w:pPr>
    <w:rPr>
      <w:rFonts w:hint="eastAsia" w:ascii="宋体" w:hAnsi="宋体"/>
      <w:color w:val="0000FF"/>
      <w:kern w:val="0"/>
      <w:szCs w:val="24"/>
      <w:u w:val="single"/>
    </w:rPr>
  </w:style>
  <w:style w:type="paragraph" w:customStyle="1" w:styleId="46">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47">
    <w:name w:val="xl5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48">
    <w:name w:val="xl4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kern w:val="0"/>
      <w:sz w:val="20"/>
    </w:rPr>
  </w:style>
  <w:style w:type="paragraph" w:customStyle="1" w:styleId="49">
    <w:name w:val="xl4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kern w:val="0"/>
      <w:sz w:val="20"/>
    </w:rPr>
  </w:style>
  <w:style w:type="paragraph" w:customStyle="1" w:styleId="5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51">
    <w:name w:val="font7"/>
    <w:basedOn w:val="1"/>
    <w:qFormat/>
    <w:uiPriority w:val="0"/>
    <w:pPr>
      <w:widowControl/>
      <w:spacing w:before="100" w:beforeAutospacing="1" w:after="100" w:afterAutospacing="1"/>
      <w:jc w:val="left"/>
    </w:pPr>
    <w:rPr>
      <w:color w:val="000000"/>
      <w:kern w:val="0"/>
      <w:sz w:val="22"/>
      <w:szCs w:val="22"/>
    </w:rPr>
  </w:style>
  <w:style w:type="paragraph" w:customStyle="1" w:styleId="52">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0"/>
    </w:rPr>
  </w:style>
  <w:style w:type="paragraph" w:customStyle="1" w:styleId="53">
    <w:name w:val="xl5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54">
    <w:name w:val="xl4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olor w:val="000000"/>
      <w:kern w:val="0"/>
      <w:sz w:val="20"/>
    </w:rPr>
  </w:style>
  <w:style w:type="paragraph" w:customStyle="1" w:styleId="55">
    <w:name w:val="xl4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kern w:val="0"/>
      <w:sz w:val="20"/>
    </w:rPr>
  </w:style>
  <w:style w:type="paragraph" w:customStyle="1" w:styleId="5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rPr>
  </w:style>
  <w:style w:type="paragraph" w:customStyle="1" w:styleId="57">
    <w:name w:val="font8"/>
    <w:basedOn w:val="1"/>
    <w:qFormat/>
    <w:uiPriority w:val="0"/>
    <w:pPr>
      <w:widowControl/>
      <w:spacing w:before="100" w:beforeAutospacing="1" w:after="100" w:afterAutospacing="1"/>
      <w:jc w:val="left"/>
    </w:pPr>
    <w:rPr>
      <w:rFonts w:hint="eastAsia" w:ascii="宋体" w:hAnsi="宋体"/>
      <w:kern w:val="0"/>
      <w:sz w:val="20"/>
    </w:rPr>
  </w:style>
  <w:style w:type="paragraph" w:customStyle="1" w:styleId="58">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rPr>
  </w:style>
  <w:style w:type="paragraph" w:customStyle="1" w:styleId="59">
    <w:name w:val="xl56"/>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60">
    <w:name w:val="xl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olor w:val="000000"/>
      <w:kern w:val="0"/>
      <w:sz w:val="20"/>
    </w:rPr>
  </w:style>
  <w:style w:type="paragraph" w:customStyle="1" w:styleId="6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rPr>
  </w:style>
  <w:style w:type="paragraph" w:customStyle="1" w:styleId="62">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rPr>
  </w:style>
  <w:style w:type="paragraph" w:customStyle="1" w:styleId="63">
    <w:name w:val="xl4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b/>
      <w:bCs/>
      <w:kern w:val="0"/>
      <w:sz w:val="20"/>
    </w:rPr>
  </w:style>
  <w:style w:type="paragraph" w:customStyle="1" w:styleId="64">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0"/>
    </w:rPr>
  </w:style>
  <w:style w:type="paragraph" w:customStyle="1" w:styleId="65">
    <w:name w:val="font10"/>
    <w:basedOn w:val="1"/>
    <w:qFormat/>
    <w:uiPriority w:val="0"/>
    <w:pPr>
      <w:widowControl/>
      <w:spacing w:before="100" w:beforeAutospacing="1" w:after="100" w:afterAutospacing="1"/>
      <w:jc w:val="left"/>
    </w:pPr>
    <w:rPr>
      <w:color w:val="000000"/>
      <w:kern w:val="0"/>
      <w:sz w:val="20"/>
    </w:rPr>
  </w:style>
  <w:style w:type="paragraph" w:customStyle="1" w:styleId="66">
    <w:name w:val="font9"/>
    <w:basedOn w:val="1"/>
    <w:qFormat/>
    <w:uiPriority w:val="0"/>
    <w:pPr>
      <w:widowControl/>
      <w:spacing w:before="100" w:beforeAutospacing="1" w:after="100" w:afterAutospacing="1"/>
      <w:jc w:val="left"/>
    </w:pPr>
    <w:rPr>
      <w:kern w:val="0"/>
      <w:sz w:val="20"/>
    </w:rPr>
  </w:style>
  <w:style w:type="paragraph" w:customStyle="1" w:styleId="67">
    <w:name w:val="xl3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b/>
      <w:bCs/>
      <w:kern w:val="0"/>
      <w:sz w:val="18"/>
      <w:szCs w:val="18"/>
    </w:rPr>
  </w:style>
  <w:style w:type="paragraph" w:customStyle="1" w:styleId="68">
    <w:name w:val="xl2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69">
    <w:name w:val="font11"/>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70">
    <w:name w:val="xl61"/>
    <w:basedOn w:val="1"/>
    <w:qFormat/>
    <w:uiPriority w:val="0"/>
    <w:pPr>
      <w:widowControl/>
      <w:pBdr>
        <w:bottom w:val="single" w:color="auto" w:sz="8" w:space="0"/>
      </w:pBdr>
      <w:spacing w:before="100" w:beforeAutospacing="1" w:after="100" w:afterAutospacing="1"/>
      <w:jc w:val="center"/>
    </w:pPr>
    <w:rPr>
      <w:rFonts w:ascii="宋体" w:hAnsi="宋体"/>
      <w:kern w:val="0"/>
      <w:sz w:val="22"/>
      <w:szCs w:val="22"/>
    </w:rPr>
  </w:style>
  <w:style w:type="paragraph" w:customStyle="1" w:styleId="71">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72">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00"/>
      <w:kern w:val="0"/>
      <w:sz w:val="20"/>
    </w:rPr>
  </w:style>
  <w:style w:type="paragraph" w:customStyle="1" w:styleId="7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color w:val="000000"/>
      <w:kern w:val="0"/>
      <w:sz w:val="22"/>
      <w:szCs w:val="22"/>
    </w:rPr>
  </w:style>
  <w:style w:type="paragraph" w:customStyle="1" w:styleId="74">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00"/>
      <w:kern w:val="0"/>
      <w:sz w:val="22"/>
      <w:szCs w:val="22"/>
    </w:rPr>
  </w:style>
  <w:style w:type="paragraph" w:customStyle="1" w:styleId="75">
    <w:name w:val="xl4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b/>
      <w:bCs/>
      <w:kern w:val="0"/>
      <w:sz w:val="20"/>
    </w:rPr>
  </w:style>
  <w:style w:type="paragraph" w:customStyle="1" w:styleId="76">
    <w:name w:val="xl3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18"/>
      <w:szCs w:val="18"/>
    </w:rPr>
  </w:style>
  <w:style w:type="paragraph" w:customStyle="1" w:styleId="77">
    <w:name w:val="xl3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kern w:val="0"/>
      <w:sz w:val="18"/>
      <w:szCs w:val="18"/>
    </w:rPr>
  </w:style>
  <w:style w:type="paragraph" w:customStyle="1" w:styleId="78">
    <w:name w:val="xl2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0"/>
    </w:rPr>
  </w:style>
  <w:style w:type="paragraph" w:customStyle="1" w:styleId="79">
    <w:name w:val="xl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b/>
      <w:bCs/>
      <w:color w:val="000000"/>
      <w:kern w:val="0"/>
      <w:sz w:val="22"/>
      <w:szCs w:val="22"/>
    </w:rPr>
  </w:style>
  <w:style w:type="paragraph" w:customStyle="1" w:styleId="80">
    <w:name w:val="xl45"/>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textAlignment w:val="center"/>
    </w:pPr>
    <w:rPr>
      <w:kern w:val="0"/>
      <w:sz w:val="20"/>
    </w:rPr>
  </w:style>
  <w:style w:type="paragraph" w:customStyle="1" w:styleId="81">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rPr>
  </w:style>
  <w:style w:type="paragraph" w:customStyle="1" w:styleId="8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8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b/>
      <w:bCs/>
      <w:kern w:val="0"/>
      <w:sz w:val="20"/>
    </w:rPr>
  </w:style>
  <w:style w:type="character" w:customStyle="1" w:styleId="84">
    <w:name w:val="图表文本 Char"/>
    <w:link w:val="85"/>
    <w:qFormat/>
    <w:uiPriority w:val="0"/>
    <w:rPr>
      <w:rFonts w:eastAsia="宋体"/>
    </w:rPr>
  </w:style>
  <w:style w:type="paragraph" w:customStyle="1" w:styleId="85">
    <w:name w:val="图表文本"/>
    <w:basedOn w:val="1"/>
    <w:link w:val="84"/>
    <w:qFormat/>
    <w:uiPriority w:val="0"/>
    <w:pPr>
      <w:spacing w:line="240" w:lineRule="auto"/>
      <w:jc w:val="center"/>
    </w:pPr>
    <w:rPr>
      <w:rFonts w:asciiTheme="minorHAnsi" w:hAnsiTheme="minorHAnsi" w:cstheme="minorBidi"/>
      <w:sz w:val="21"/>
      <w:szCs w:val="22"/>
    </w:rPr>
  </w:style>
  <w:style w:type="paragraph" w:customStyle="1" w:styleId="86">
    <w:name w:val="0-正文"/>
    <w:basedOn w:val="1"/>
    <w:link w:val="87"/>
    <w:qFormat/>
    <w:uiPriority w:val="0"/>
    <w:pPr>
      <w:tabs>
        <w:tab w:val="left" w:pos="720"/>
      </w:tabs>
      <w:ind w:firstLine="200" w:firstLineChars="200"/>
    </w:pPr>
    <w:rPr>
      <w:szCs w:val="24"/>
    </w:rPr>
  </w:style>
  <w:style w:type="character" w:customStyle="1" w:styleId="87">
    <w:name w:val="0-正文 Char"/>
    <w:link w:val="86"/>
    <w:qFormat/>
    <w:uiPriority w:val="0"/>
    <w:rPr>
      <w:rFonts w:ascii="Times New Roman" w:hAnsi="Times New Roman" w:eastAsia="宋体" w:cs="Times New Roman"/>
      <w:sz w:val="24"/>
      <w:szCs w:val="24"/>
    </w:rPr>
  </w:style>
  <w:style w:type="paragraph" w:customStyle="1" w:styleId="88">
    <w:name w:val="0-表格"/>
    <w:basedOn w:val="1"/>
    <w:link w:val="89"/>
    <w:qFormat/>
    <w:uiPriority w:val="0"/>
    <w:rPr>
      <w:rFonts w:ascii="宋体" w:hAnsi="宋体"/>
      <w:spacing w:val="-4"/>
      <w:szCs w:val="24"/>
    </w:rPr>
  </w:style>
  <w:style w:type="character" w:customStyle="1" w:styleId="89">
    <w:name w:val="0-表格 Char"/>
    <w:link w:val="88"/>
    <w:qFormat/>
    <w:uiPriority w:val="0"/>
    <w:rPr>
      <w:rFonts w:ascii="宋体" w:hAnsi="宋体" w:eastAsia="宋体" w:cs="Times New Roman"/>
      <w:spacing w:val="-4"/>
      <w:sz w:val="24"/>
      <w:szCs w:val="24"/>
    </w:rPr>
  </w:style>
  <w:style w:type="character" w:customStyle="1" w:styleId="90">
    <w:name w:val="正文文本 字符"/>
    <w:basedOn w:val="19"/>
    <w:link w:val="2"/>
    <w:qFormat/>
    <w:uiPriority w:val="0"/>
    <w:rPr>
      <w:rFonts w:ascii="Times New Roman" w:hAnsi="Times New Roman" w:eastAsia="宋体" w:cs="Times New Roman"/>
      <w:sz w:val="24"/>
      <w:szCs w:val="20"/>
    </w:rPr>
  </w:style>
  <w:style w:type="character" w:customStyle="1" w:styleId="91">
    <w:name w:val="正文首行缩进 字符"/>
    <w:basedOn w:val="90"/>
    <w:link w:val="9"/>
    <w:qFormat/>
    <w:uiPriority w:val="0"/>
    <w:rPr>
      <w:rFonts w:ascii="Times New Roman" w:hAnsi="Times New Roman" w:eastAsia="宋体" w:cs="Times New Roman"/>
      <w:sz w:val="24"/>
      <w:szCs w:val="20"/>
    </w:rPr>
  </w:style>
  <w:style w:type="character" w:customStyle="1" w:styleId="92">
    <w:name w:val="批注框文本 字符"/>
    <w:basedOn w:val="19"/>
    <w:link w:val="15"/>
    <w:qFormat/>
    <w:uiPriority w:val="0"/>
    <w:rPr>
      <w:rFonts w:ascii="Times New Roman" w:hAnsi="Times New Roman" w:eastAsia="宋体" w:cs="Times New Roman"/>
      <w:sz w:val="18"/>
      <w:szCs w:val="18"/>
    </w:rPr>
  </w:style>
  <w:style w:type="character" w:customStyle="1" w:styleId="93">
    <w:name w:val="批注文字 字符"/>
    <w:basedOn w:val="19"/>
    <w:link w:val="8"/>
    <w:semiHidden/>
    <w:qFormat/>
    <w:uiPriority w:val="0"/>
    <w:rPr>
      <w:rFonts w:ascii="Times New Roman" w:hAnsi="Times New Roman" w:eastAsia="宋体" w:cs="Times New Roman"/>
      <w:sz w:val="24"/>
      <w:szCs w:val="20"/>
    </w:rPr>
  </w:style>
  <w:style w:type="character" w:customStyle="1" w:styleId="94">
    <w:name w:val="批注主题 字符"/>
    <w:basedOn w:val="93"/>
    <w:link w:val="7"/>
    <w:semiHidden/>
    <w:qFormat/>
    <w:uiPriority w:val="0"/>
    <w:rPr>
      <w:rFonts w:ascii="Times New Roman" w:hAnsi="Times New Roman" w:eastAsia="宋体" w:cs="Times New Roman"/>
      <w:b/>
      <w:bCs/>
      <w:sz w:val="24"/>
      <w:szCs w:val="20"/>
    </w:rPr>
  </w:style>
  <w:style w:type="paragraph" w:customStyle="1" w:styleId="95">
    <w:name w:val="0-3级标题"/>
    <w:basedOn w:val="41"/>
    <w:link w:val="97"/>
    <w:qFormat/>
    <w:uiPriority w:val="0"/>
    <w:pPr>
      <w:numPr>
        <w:ilvl w:val="2"/>
        <w:numId w:val="1"/>
      </w:numPr>
      <w:ind w:firstLine="0" w:firstLineChars="0"/>
      <w:outlineLvl w:val="2"/>
    </w:pPr>
    <w:rPr>
      <w:rFonts w:ascii="Times New Roman" w:hAnsi="Times New Roman"/>
      <w:b/>
      <w:sz w:val="24"/>
    </w:rPr>
  </w:style>
  <w:style w:type="character" w:customStyle="1" w:styleId="96">
    <w:name w:val="列出段落 字符"/>
    <w:basedOn w:val="19"/>
    <w:link w:val="41"/>
    <w:qFormat/>
    <w:uiPriority w:val="34"/>
    <w:rPr>
      <w:rFonts w:ascii="Calibri" w:hAnsi="Calibri" w:eastAsia="宋体" w:cs="Times New Roman"/>
    </w:rPr>
  </w:style>
  <w:style w:type="character" w:customStyle="1" w:styleId="97">
    <w:name w:val="0-3级标题 字符"/>
    <w:basedOn w:val="96"/>
    <w:link w:val="95"/>
    <w:qFormat/>
    <w:uiPriority w:val="0"/>
    <w:rPr>
      <w:rFonts w:ascii="Times New Roman" w:hAnsi="Times New Roman" w:eastAsia="宋体" w:cs="Times New Roman"/>
      <w:b/>
      <w:sz w:val="24"/>
    </w:rPr>
  </w:style>
  <w:style w:type="paragraph" w:customStyle="1" w:styleId="98">
    <w:name w:val="表格内容"/>
    <w:basedOn w:val="1"/>
    <w:next w:val="1"/>
    <w:qFormat/>
    <w:uiPriority w:val="0"/>
    <w:pPr>
      <w:spacing w:line="240" w:lineRule="auto"/>
      <w:ind w:firstLine="0" w:firstLineChars="0"/>
      <w:jc w:val="center"/>
    </w:pPr>
    <w:rPr>
      <w:rFonts w:hint="eastAsia"/>
      <w:sz w:val="24"/>
    </w:rPr>
  </w:style>
  <w:style w:type="paragraph" w:customStyle="1" w:styleId="99">
    <w:name w:val="表体"/>
    <w:next w:val="1"/>
    <w:qFormat/>
    <w:uiPriority w:val="0"/>
    <w:pPr>
      <w:adjustRightInd w:val="0"/>
      <w:snapToGrid w:val="0"/>
      <w:jc w:val="center"/>
    </w:pPr>
    <w:rPr>
      <w:rFonts w:ascii="仿宋_GB2312" w:hAnsi="Times New Roman"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6991</Words>
  <Characters>39855</Characters>
  <Lines>332</Lines>
  <Paragraphs>93</Paragraphs>
  <TotalTime>6</TotalTime>
  <ScaleCrop>false</ScaleCrop>
  <LinksUpToDate>false</LinksUpToDate>
  <CharactersWithSpaces>46753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2022-12-22T09:31:00Z</dcterms:created>
  <dc:creator>cs1670</dc:creator>
  <cp:lastModifiedBy>zj2328</cp:lastModifiedBy>
  <cp:lastPrinted>2023-03-14T06:46:00Z</cp:lastPrinted>
  <dcterms:modified xsi:type="dcterms:W3CDTF">2025-07-31T02:39:42Z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CF52FAC81BCA4283A6383BEF41047D15</vt:lpwstr>
  </property>
</Properties>
</file>